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545034630"/>
        <w:docPartObj>
          <w:docPartGallery w:val="Cover Pages"/>
          <w:docPartUnique/>
        </w:docPartObj>
      </w:sdtPr>
      <w:sdtContent>
        <w:p w14:paraId="1A5E8690" w14:textId="77777777" w:rsidR="00512032" w:rsidRDefault="00512032"/>
        <w:p w14:paraId="375D0586" w14:textId="77777777" w:rsidR="00512032" w:rsidRDefault="00512032"/>
        <w:p w14:paraId="06A9BCE6" w14:textId="77777777" w:rsidR="00512032" w:rsidRDefault="00512032"/>
        <w:p w14:paraId="38C08784" w14:textId="77777777" w:rsidR="00512032" w:rsidRDefault="00512032"/>
        <w:p w14:paraId="4D1BA320" w14:textId="77777777" w:rsidR="00512032" w:rsidRDefault="00512032"/>
        <w:p w14:paraId="384DEA1A" w14:textId="77777777" w:rsidR="00512032" w:rsidRDefault="00512032"/>
        <w:p w14:paraId="201ABB5E" w14:textId="77777777" w:rsidR="00512032" w:rsidRDefault="00512032"/>
        <w:p w14:paraId="3C92C969" w14:textId="77777777" w:rsidR="00512032" w:rsidRDefault="00512032"/>
        <w:p w14:paraId="664586D3" w14:textId="77777777" w:rsidR="00512032" w:rsidRDefault="00512032"/>
        <w:p w14:paraId="14524A03" w14:textId="77777777" w:rsidR="00512032" w:rsidRDefault="00512032"/>
        <w:p w14:paraId="33EE0425" w14:textId="77777777" w:rsidR="00512032" w:rsidRDefault="00512032"/>
        <w:p w14:paraId="4D21DBFA" w14:textId="77777777" w:rsidR="00512032" w:rsidRDefault="00512032"/>
        <w:p w14:paraId="2700EC2D" w14:textId="77777777" w:rsidR="00512032" w:rsidRDefault="00512032"/>
        <w:p w14:paraId="69713277" w14:textId="77777777" w:rsidR="00512032" w:rsidRDefault="00512032"/>
        <w:p w14:paraId="36AA014F" w14:textId="77777777" w:rsidR="00512032" w:rsidRDefault="00512032"/>
        <w:p w14:paraId="3300F3C4" w14:textId="77777777" w:rsidR="00512032" w:rsidRDefault="00512032"/>
        <w:p w14:paraId="4694654B" w14:textId="77777777" w:rsidR="00512032" w:rsidRDefault="00512032"/>
        <w:p w14:paraId="45FEC5D6" w14:textId="77777777" w:rsidR="00512032" w:rsidRDefault="00512032"/>
        <w:p w14:paraId="59F8898B" w14:textId="32ADB26F" w:rsidR="00512032" w:rsidRDefault="007116BE"/>
      </w:sdtContent>
    </w:sdt>
    <w:p w14:paraId="3B384E16" w14:textId="305131B9" w:rsidR="007116BE" w:rsidRPr="007116BE" w:rsidRDefault="007116BE" w:rsidP="00356B7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ПЛЮС ЛАКТОФЕРРИН</w:t>
      </w:r>
      <w:r w:rsidRPr="007116B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FAST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ИФА</w:t>
      </w:r>
    </w:p>
    <w:p w14:paraId="1E4589D3" w14:textId="25DA1A86" w:rsidR="007116BE" w:rsidRDefault="007116BE" w:rsidP="00356B73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16BE">
        <w:rPr>
          <w:rFonts w:ascii="Times New Roman" w:hAnsi="Times New Roman" w:cs="Times New Roman"/>
          <w:i/>
          <w:iCs/>
          <w:sz w:val="24"/>
          <w:szCs w:val="24"/>
        </w:rPr>
        <w:t>5091LFERF[7]02.24</w:t>
      </w:r>
    </w:p>
    <w:p w14:paraId="4E540DD0" w14:textId="2E30AAD6" w:rsidR="00B77F15" w:rsidRPr="007116BE" w:rsidRDefault="00356B73" w:rsidP="00356B7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6B73">
        <w:rPr>
          <w:rFonts w:ascii="Times New Roman" w:hAnsi="Times New Roman" w:cs="Times New Roman"/>
          <w:sz w:val="28"/>
          <w:szCs w:val="28"/>
        </w:rPr>
        <w:t xml:space="preserve">Конкурентный иммуноферментный метод для скрининга и количественного определения </w:t>
      </w:r>
      <w:proofErr w:type="spellStart"/>
      <w:r w:rsidR="007116BE">
        <w:rPr>
          <w:rFonts w:ascii="Times New Roman" w:hAnsi="Times New Roman" w:cs="Times New Roman"/>
          <w:sz w:val="28"/>
          <w:szCs w:val="28"/>
          <w:lang w:val="ru-RU"/>
        </w:rPr>
        <w:t>лактоферрин</w:t>
      </w:r>
      <w:proofErr w:type="spellEnd"/>
      <w:r w:rsidR="00D3697F" w:rsidRPr="00356B73">
        <w:rPr>
          <w:rFonts w:ascii="Times New Roman" w:hAnsi="Times New Roman" w:cs="Times New Roman"/>
          <w:sz w:val="28"/>
          <w:szCs w:val="28"/>
        </w:rPr>
        <w:t xml:space="preserve"> </w:t>
      </w:r>
      <w:r w:rsidRPr="00356B73">
        <w:rPr>
          <w:rFonts w:ascii="Times New Roman" w:hAnsi="Times New Roman" w:cs="Times New Roman"/>
          <w:sz w:val="28"/>
          <w:szCs w:val="28"/>
        </w:rPr>
        <w:t xml:space="preserve">в </w:t>
      </w:r>
      <w:r w:rsidR="007116BE">
        <w:rPr>
          <w:rFonts w:ascii="Times New Roman" w:hAnsi="Times New Roman" w:cs="Times New Roman"/>
          <w:sz w:val="28"/>
          <w:szCs w:val="28"/>
          <w:lang w:val="ru-RU"/>
        </w:rPr>
        <w:t>сухом детском молоке</w:t>
      </w:r>
    </w:p>
    <w:p w14:paraId="41C5DA3B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E20D9B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BD3036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7B9C3D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AFB6E8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45B887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15CE7E" w14:textId="3CDAC9D9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7E688B" w14:textId="7C7D66BF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DBADD0" w14:textId="13A7EB4B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FA50EC" w14:textId="3CFF3BCF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65861" w14:textId="77777777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82101D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3D0D87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70B4BA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B34050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23822D" w14:textId="3FBA9C81" w:rsidR="00512032" w:rsidRDefault="00512032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3301">
        <w:rPr>
          <w:rFonts w:ascii="Times New Roman" w:hAnsi="Times New Roman" w:cs="Times New Roman"/>
          <w:sz w:val="28"/>
          <w:szCs w:val="28"/>
        </w:rPr>
        <w:lastRenderedPageBreak/>
        <w:t>Пожалуйста, обращайтесь по вопросам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технической поддержки</w:t>
      </w:r>
      <w:r w:rsidRPr="00E73301">
        <w:rPr>
          <w:rFonts w:ascii="Times New Roman" w:hAnsi="Times New Roman" w:cs="Times New Roman"/>
          <w:sz w:val="28"/>
          <w:szCs w:val="28"/>
        </w:rPr>
        <w:t xml:space="preserve"> и дополнительной информации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к официальным дистрибьюторам на территории Вашей страны</w:t>
      </w:r>
      <w:r w:rsidRPr="00E73301">
        <w:rPr>
          <w:rFonts w:ascii="Times New Roman" w:hAnsi="Times New Roman" w:cs="Times New Roman"/>
          <w:sz w:val="28"/>
          <w:szCs w:val="28"/>
        </w:rPr>
        <w:t>:</w:t>
      </w:r>
    </w:p>
    <w:p w14:paraId="7512E231" w14:textId="77777777" w:rsidR="00CC6DC3" w:rsidRDefault="00CC6DC3" w:rsidP="00B77F1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Style w:val="a9"/>
        <w:tblW w:w="0" w:type="auto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2032" w14:paraId="6EC3D05B" w14:textId="77777777" w:rsidTr="00D14374">
        <w:tc>
          <w:tcPr>
            <w:tcW w:w="4672" w:type="dxa"/>
            <w:tcBorders>
              <w:right w:val="single" w:sz="4" w:space="0" w:color="auto"/>
            </w:tcBorders>
          </w:tcPr>
          <w:p w14:paraId="1345EDC3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7CBF1D84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России:</w:t>
            </w:r>
          </w:p>
          <w:p w14:paraId="4ADC3C53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ООО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НеоТест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7E03213A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ул. Растопчина, 1Г, г. 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Вла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д</w:t>
            </w:r>
            <w:r w:rsidRPr="00AF33AB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ир</w:t>
            </w:r>
            <w:proofErr w:type="spellEnd"/>
          </w:p>
          <w:p w14:paraId="591EAF8C" w14:textId="6ADD010A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+7 499 </w:t>
            </w:r>
            <w:r w:rsidR="00EF6E2C" w:rsidRPr="00EF6E2C">
              <w:rPr>
                <w:rFonts w:ascii="Arial" w:hAnsi="Arial" w:cs="Arial"/>
                <w:sz w:val="28"/>
                <w:szCs w:val="28"/>
                <w:lang w:val="ru-RU"/>
              </w:rPr>
              <w:t>911</w:t>
            </w:r>
            <w:r w:rsidRPr="00AF33AB">
              <w:rPr>
                <w:rFonts w:ascii="Arial" w:hAnsi="Arial" w:cs="Arial"/>
                <w:sz w:val="28"/>
                <w:szCs w:val="28"/>
              </w:rPr>
              <w:t xml:space="preserve"> 02 01</w:t>
            </w:r>
          </w:p>
          <w:p w14:paraId="094162E8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info@neo-test.ru</w:t>
            </w:r>
          </w:p>
          <w:p w14:paraId="2C7C17FA" w14:textId="77777777" w:rsidR="00512032" w:rsidRDefault="007116BE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hyperlink r:id="rId6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www.neo-test.ru</w:t>
              </w:r>
            </w:hyperlink>
          </w:p>
          <w:p w14:paraId="2FB0A66A" w14:textId="77777777" w:rsidR="00512032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</w:p>
          <w:p w14:paraId="26ED0D1F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F33A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  <w:t xml:space="preserve">Техническая поддержка </w:t>
            </w:r>
          </w:p>
          <w:p w14:paraId="6F1D2537" w14:textId="77777777" w:rsidR="00512032" w:rsidRPr="002F06F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support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@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neo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test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ru</w:t>
            </w:r>
            <w:proofErr w:type="spellEnd"/>
          </w:p>
          <w:p w14:paraId="4C29AFB5" w14:textId="57D72930" w:rsidR="00512032" w:rsidRPr="007116BE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14:paraId="76468EFD" w14:textId="77777777" w:rsidR="00512032" w:rsidRPr="007116BE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14:paraId="0BE870C1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2CC70A" wp14:editId="44DC8407">
                  <wp:extent cx="1962150" cy="7845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НеоТес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42" cy="795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F3A64DE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2E3C80CD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Беларуси:</w:t>
            </w:r>
          </w:p>
          <w:p w14:paraId="6225FE87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ОДО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КомПродСервис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66A27AE0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ул. Филимонова, 25Г, г. Минск</w:t>
            </w:r>
          </w:p>
          <w:p w14:paraId="0250CA8E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+375 17 336 50 54</w:t>
            </w:r>
          </w:p>
          <w:p w14:paraId="707761A1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info@komprod.com</w:t>
            </w:r>
          </w:p>
          <w:p w14:paraId="2EE95899" w14:textId="77777777" w:rsidR="00512032" w:rsidRDefault="007116BE" w:rsidP="00D14374">
            <w:pPr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www.komprod.com</w:t>
              </w:r>
            </w:hyperlink>
          </w:p>
          <w:p w14:paraId="48F8C0C5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082195" w14:textId="77777777" w:rsidR="00512032" w:rsidRPr="007910B7" w:rsidRDefault="00512032" w:rsidP="00D14374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10B7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Техническая поддержка</w:t>
            </w:r>
          </w:p>
          <w:p w14:paraId="74FD06B3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7910B7">
              <w:rPr>
                <w:rFonts w:ascii="Arial" w:hAnsi="Arial" w:cs="Arial"/>
                <w:sz w:val="28"/>
                <w:szCs w:val="28"/>
              </w:rPr>
              <w:t>support@komprod.com</w:t>
            </w:r>
          </w:p>
          <w:p w14:paraId="033C2EAA" w14:textId="7453F48B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D97E18" w14:textId="77777777" w:rsidR="00EF6E2C" w:rsidRPr="007910B7" w:rsidRDefault="00EF6E2C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D6F00C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AC1DFA0" wp14:editId="5AACEA38">
                  <wp:extent cx="2476500" cy="4847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488" cy="49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D154A" w14:textId="77777777" w:rsidR="005F5964" w:rsidRDefault="005F5964"/>
    <w:p w14:paraId="1BC696D2" w14:textId="77777777" w:rsidR="00512032" w:rsidRDefault="00512032"/>
    <w:p w14:paraId="2C94AF16" w14:textId="77777777" w:rsidR="00512032" w:rsidRDefault="00512032"/>
    <w:p w14:paraId="5F0DACB1" w14:textId="77777777" w:rsidR="00512032" w:rsidRDefault="00512032"/>
    <w:p w14:paraId="2AA6EA01" w14:textId="77777777" w:rsidR="00512032" w:rsidRDefault="00512032"/>
    <w:p w14:paraId="606BEAD3" w14:textId="77777777" w:rsidR="00512032" w:rsidRDefault="00512032"/>
    <w:p w14:paraId="271C7EEA" w14:textId="77777777" w:rsidR="00512032" w:rsidRDefault="00512032"/>
    <w:p w14:paraId="0B3D9DD2" w14:textId="77777777" w:rsidR="00512032" w:rsidRDefault="00512032"/>
    <w:p w14:paraId="55DC275A" w14:textId="77777777" w:rsidR="00512032" w:rsidRDefault="00512032"/>
    <w:p w14:paraId="79DE8C05" w14:textId="77777777" w:rsidR="00512032" w:rsidRDefault="00512032"/>
    <w:p w14:paraId="69AEA455" w14:textId="77777777" w:rsidR="00512032" w:rsidRDefault="00512032"/>
    <w:p w14:paraId="6BE34F48" w14:textId="77777777" w:rsidR="00512032" w:rsidRDefault="00512032"/>
    <w:p w14:paraId="0A656768" w14:textId="77777777" w:rsidR="00512032" w:rsidRDefault="00512032"/>
    <w:p w14:paraId="6F3CCA22" w14:textId="77777777" w:rsidR="00512032" w:rsidRDefault="00512032"/>
    <w:p w14:paraId="0A2373E4" w14:textId="77777777" w:rsidR="00512032" w:rsidRDefault="00512032"/>
    <w:p w14:paraId="0D2196EC" w14:textId="77777777" w:rsidR="00512032" w:rsidRDefault="00512032"/>
    <w:p w14:paraId="5CA78BD6" w14:textId="77777777" w:rsidR="00512032" w:rsidRDefault="00512032"/>
    <w:p w14:paraId="22AC821C" w14:textId="77777777" w:rsidR="00512032" w:rsidRDefault="00512032"/>
    <w:p w14:paraId="4F083F31" w14:textId="77777777" w:rsidR="00512032" w:rsidRDefault="00512032"/>
    <w:p w14:paraId="1739182F" w14:textId="77777777" w:rsidR="00512032" w:rsidRPr="000F28DD" w:rsidRDefault="00512032" w:rsidP="00ED7F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СВЕДЕНИЯ</w:t>
      </w:r>
    </w:p>
    <w:p w14:paraId="18858373" w14:textId="740A7F22" w:rsidR="00EC1A1F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6BE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FAST ELISA представляет собой набор для скрининга и количественного выявления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в сухом детском питании методом конкурентного иммуноферментного анализа. Набор предназначен для проведения 96 определений. Однако, в связи с тем, что образцы и стандарты измеряются в дубликатах, в общей сложности может быть проанализировано 40 образцов. Набор содержит все реагенты необходимые для проведения анализа. Реагенты для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не входят в комплект.</w:t>
      </w:r>
    </w:p>
    <w:p w14:paraId="51BC40B9" w14:textId="77777777" w:rsidR="007116BE" w:rsidRPr="00EC1A1F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109BD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1. ВВЕДЕНИЕ</w:t>
      </w:r>
    </w:p>
    <w:p w14:paraId="54312F13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представляет собой гликопротеин семейства трансферринов массой 80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кДа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способен связывать и переносить железо (ионы Fe</w:t>
      </w:r>
      <w:r w:rsidRPr="007116BE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7116B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содержится в большинстве биологических жидкостей и является основным компонентом врожденной иммунной системы млекопитающих. Его защитные эффекты варьируют от прямой антимикробной активности против большой группы микроорганизмов, в том числе бактерий, вирусов, грибков и паразитов, до противовоспалительного и противоопухолевого действия. Этот широкий спектр обусловлен механизмом действия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лактофиррина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, включающим не только способность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связывать железо, но также взаимодействовать с молекулярными и клеточными компонентами, как хозяина, так и патогенных микроорганизмов.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содержится в слизистых выделениях, моче и плазме. Самая высокая концентрация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у человека обнаружена в молоке и молозиве. В бычьем молоке концентрация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варьирует от 0,05 до 0,5 г/л. В 2012 г Европейское агентство по безопасности пищевых продуктов одобрило использование бычьего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в качестве пищевой добавки. В результате чего спрос на это вещество резко увеличился, в частности из-за применения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в детском сухом питании, особенно в Китае.</w:t>
      </w:r>
    </w:p>
    <w:p w14:paraId="39C1EFF5" w14:textId="77777777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Специально для контроля концентрации бычьего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в детском питании R-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Nederland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разработало набор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FAST ELISA. </w:t>
      </w:r>
    </w:p>
    <w:p w14:paraId="2C91664F" w14:textId="77777777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CFDD57" w14:textId="601F51C9" w:rsidR="00EC1A1F" w:rsidRPr="00EC1A1F" w:rsidRDefault="00EC1A1F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2. ПРИНЦ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ИП РАБОТЫ ТЕСТА</w:t>
      </w:r>
    </w:p>
    <w:p w14:paraId="2E6B3AE8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Набор для проведения ИФА включает 12 сенсибилизированных стрипов по 8 лунок в каждом. Лунки планшета сенсибилизированы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моноклональными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антителами, специфичными по отношению к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меченый ферментом, стандартные растворы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или образцы, содержащие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вносят в лунки планшета. Свободный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(в стандартном растворе или в образце) и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меченый ферментом, конкурируют за специфические сайты связывания на поверхности лунок планшета (конкурентный иммуноферментный анализ). После инкубации в течение одного часа несвязанные реагенты удаляют на стадии промывки. Количество связанного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меченого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пероксидазой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визуализируют путем добавления раствора субстрат/хромогена. Связанный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тилозин-пероксидаза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превращает хромоген в окрашенный продукт. Реакция останавливается добавлением серной кислоты. Окраску проб измеряют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фотометрически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при 450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ее интенсивность обратно пропорциональна концентрации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образце.</w:t>
      </w:r>
    </w:p>
    <w:p w14:paraId="62BFAA2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EE714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3. СПЕЦИФИЧНОСТЬ И ЧУВСТВИТЕЛЬНОСТЬ</w:t>
      </w:r>
    </w:p>
    <w:p w14:paraId="1BD07355" w14:textId="1678E7F3" w:rsidR="00EC1A1F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Предел обнаружения (LOD) и возможность обнаружения (CCβ) определяются в оптимальных условиях.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36"/>
        <w:gridCol w:w="1249"/>
        <w:gridCol w:w="4565"/>
      </w:tblGrid>
      <w:tr w:rsidR="007116BE" w:rsidRPr="007116BE" w14:paraId="58464031" w14:textId="77777777" w:rsidTr="007116B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7C51237B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Матрица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</w:tcPr>
          <w:p w14:paraId="4FCB2FA0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пробоподготовки</w:t>
            </w:r>
            <w:proofErr w:type="spellEnd"/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40EEF666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LOD</w:t>
            </w:r>
          </w:p>
          <w:p w14:paraId="2A6F88C3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мкг/г</w:t>
            </w:r>
            <w:r w:rsidRPr="0071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auto"/>
          </w:tcPr>
          <w:p w14:paraId="13DE7549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Возможность обнаружения (</w:t>
            </w:r>
            <w:r w:rsidRPr="0071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CCβ</w:t>
            </w: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, мкг/г)</w:t>
            </w:r>
          </w:p>
        </w:tc>
      </w:tr>
      <w:tr w:rsidR="007116BE" w:rsidRPr="007116BE" w14:paraId="26CA5845" w14:textId="77777777" w:rsidTr="007116BE">
        <w:trPr>
          <w:trHeight w:val="623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1A198D5E" w14:textId="77777777" w:rsidR="007116BE" w:rsidRPr="007116BE" w:rsidRDefault="007116BE" w:rsidP="001B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Детское сухое питание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</w:tcPr>
          <w:p w14:paraId="61510266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BD5E62E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auto"/>
          </w:tcPr>
          <w:p w14:paraId="57EC7ED3" w14:textId="77777777" w:rsidR="007116BE" w:rsidRPr="007116BE" w:rsidRDefault="007116BE" w:rsidP="001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B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2B485C4E" w14:textId="799863A2" w:rsidR="00EC1A1F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Если результаты анализа признаны неудовлетворительными, необходимо провести повторный анализ образца подтверждающим методом.</w:t>
      </w:r>
    </w:p>
    <w:p w14:paraId="66333583" w14:textId="5598D681" w:rsidR="007116BE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69ECA0" w14:textId="71A7A730" w:rsidR="007116BE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C5E050" w14:textId="0D3B2AEB" w:rsidR="007116BE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EA2248" w14:textId="77777777" w:rsidR="007116BE" w:rsidRDefault="007116BE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696148" w14:textId="582C01A8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УСЛОВИЯ ОБРАЩЕНИЯ И ХРАНЕНИЕ</w:t>
      </w:r>
    </w:p>
    <w:p w14:paraId="7B77B11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Набор реагентов и его компоненты, до и сразу после использования, должны храниться в холодильнике при температуре от +2 до +8˚С.</w:t>
      </w:r>
    </w:p>
    <w:p w14:paraId="39D0FA1F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После истечения срока годности качество работы набора и его компонентов не гарантировано.</w:t>
      </w:r>
    </w:p>
    <w:p w14:paraId="2118576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Перед проведением анализа все компоненты набора, включая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микротитровальный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планшет, должны быть доведены до комнатной температуры. Избегайте образования конденсата на стенках лунок планшета. Извлекать планшет из упаковки можно только после его нагревания до комнатной температуры. </w:t>
      </w:r>
    </w:p>
    <w:p w14:paraId="3DDD9941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Необходимо избегать любого прямого воздействия света на раствор хромогена.</w:t>
      </w:r>
    </w:p>
    <w:p w14:paraId="794D2B1A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Признаки порчи реагентов:</w:t>
      </w:r>
    </w:p>
    <w:p w14:paraId="207B7225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- Синяя окраска раствора субстрата перед переносом его в лунки.</w:t>
      </w:r>
    </w:p>
    <w:p w14:paraId="75A34160" w14:textId="57A81637" w:rsid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- Слабая или отсутствующая цветовая реакция нулевого стандарта (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B</w:t>
      </w:r>
      <w:r w:rsidRPr="007116BE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max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>, E</w:t>
      </w:r>
      <w:r w:rsidRPr="007116BE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450nm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&lt;0,8).</w:t>
      </w:r>
    </w:p>
    <w:p w14:paraId="666920C2" w14:textId="77777777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00F6AB" w14:textId="77777777" w:rsidR="00EC1A1F" w:rsidRPr="007116BE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>5. КОМПОНЕНТЫ НАБОРА</w:t>
      </w:r>
    </w:p>
    <w:p w14:paraId="7C6BDB9A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Руководство по эксплуатации. Один запечатанный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микротитровальный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планшет (12 стрипов по 8 лунок), сенсибилизированный антителами. Планшет готов к использованию.</w:t>
      </w:r>
    </w:p>
    <w:p w14:paraId="5BD77DE1" w14:textId="77777777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Позиции реагентов в наборе. Приготовление реагентов описано в разделе 9.</w:t>
      </w:r>
    </w:p>
    <w:p w14:paraId="6E7141AE" w14:textId="58DDB7FD" w:rsidR="00EC1A1F" w:rsidRDefault="007116BE" w:rsidP="007116B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0E03A5" wp14:editId="196670B4">
            <wp:extent cx="3368320" cy="2522861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466" cy="252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483C8" w14:textId="0C6AA164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>1. Буфер для разбавления</w:t>
      </w:r>
      <w:r w:rsidRPr="007116BE">
        <w:rPr>
          <w:rFonts w:ascii="Times New Roman" w:hAnsi="Times New Roman" w:cs="Times New Roman"/>
          <w:sz w:val="24"/>
          <w:szCs w:val="24"/>
        </w:rPr>
        <w:t xml:space="preserve"> (30 мл, 10-кратный концентрированный)</w:t>
      </w:r>
    </w:p>
    <w:p w14:paraId="56F09CD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 xml:space="preserve">2. Буфер для промывки </w:t>
      </w:r>
      <w:r w:rsidRPr="007116BE">
        <w:rPr>
          <w:rFonts w:ascii="Times New Roman" w:hAnsi="Times New Roman" w:cs="Times New Roman"/>
          <w:sz w:val="24"/>
          <w:szCs w:val="24"/>
        </w:rPr>
        <w:t>(30 мл, 20-кратный концентрированный)</w:t>
      </w:r>
    </w:p>
    <w:p w14:paraId="67BD0638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>3. Раствор субстрата</w:t>
      </w:r>
      <w:r w:rsidRPr="007116BE">
        <w:rPr>
          <w:rFonts w:ascii="Times New Roman" w:hAnsi="Times New Roman" w:cs="Times New Roman"/>
          <w:sz w:val="24"/>
          <w:szCs w:val="24"/>
        </w:rPr>
        <w:t xml:space="preserve"> (12 мл, готовый к использованию)</w:t>
      </w:r>
    </w:p>
    <w:p w14:paraId="59A47BB1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 xml:space="preserve">4. Стоп-раствор </w:t>
      </w:r>
      <w:r w:rsidRPr="007116BE">
        <w:rPr>
          <w:rFonts w:ascii="Times New Roman" w:hAnsi="Times New Roman" w:cs="Times New Roman"/>
          <w:sz w:val="24"/>
          <w:szCs w:val="24"/>
        </w:rPr>
        <w:t>(15 мл, готовый к использованию)</w:t>
      </w:r>
    </w:p>
    <w:p w14:paraId="162A1DFA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 xml:space="preserve">5. Стандарт </w:t>
      </w:r>
      <w:r w:rsidRPr="007116BE">
        <w:rPr>
          <w:rFonts w:ascii="Times New Roman" w:hAnsi="Times New Roman" w:cs="Times New Roman"/>
          <w:sz w:val="24"/>
          <w:szCs w:val="24"/>
        </w:rPr>
        <w:t xml:space="preserve">(2,5 мкг/мл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лиофилизированный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)</w:t>
      </w:r>
    </w:p>
    <w:p w14:paraId="68CCD024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 xml:space="preserve">6. Стандарт </w:t>
      </w:r>
      <w:r w:rsidRPr="007116BE">
        <w:rPr>
          <w:rFonts w:ascii="Times New Roman" w:hAnsi="Times New Roman" w:cs="Times New Roman"/>
          <w:sz w:val="24"/>
          <w:szCs w:val="24"/>
        </w:rPr>
        <w:t xml:space="preserve">(2,5 мкг/мл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лиофилизированный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)</w:t>
      </w:r>
    </w:p>
    <w:p w14:paraId="1459EA7E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>7. Стандарт</w:t>
      </w:r>
      <w:r w:rsidRPr="007116BE">
        <w:rPr>
          <w:rFonts w:ascii="Times New Roman" w:hAnsi="Times New Roman" w:cs="Times New Roman"/>
          <w:sz w:val="24"/>
          <w:szCs w:val="24"/>
        </w:rPr>
        <w:t xml:space="preserve"> (2,5 мкг/мл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лиофилизированный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)</w:t>
      </w:r>
    </w:p>
    <w:p w14:paraId="5885AF73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</w:rPr>
        <w:t xml:space="preserve">8. Раствор </w:t>
      </w:r>
      <w:proofErr w:type="spellStart"/>
      <w:r w:rsidRPr="007116BE">
        <w:rPr>
          <w:rFonts w:ascii="Times New Roman" w:hAnsi="Times New Roman" w:cs="Times New Roman"/>
          <w:b/>
          <w:bCs/>
          <w:sz w:val="24"/>
          <w:szCs w:val="24"/>
        </w:rPr>
        <w:t>конъюгата</w:t>
      </w:r>
      <w:proofErr w:type="spellEnd"/>
      <w:r w:rsidRPr="00711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</w:rPr>
        <w:t xml:space="preserve">(150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; 100-кратный концентрированный)</w:t>
      </w:r>
    </w:p>
    <w:p w14:paraId="1BA8BA27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9. не используется</w:t>
      </w:r>
    </w:p>
    <w:p w14:paraId="32FA28CF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10. не используется</w:t>
      </w:r>
    </w:p>
    <w:p w14:paraId="41FC6158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11. не используется</w:t>
      </w:r>
    </w:p>
    <w:p w14:paraId="0A2F4623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12. не используется</w:t>
      </w:r>
    </w:p>
    <w:p w14:paraId="52A26609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13. не используется</w:t>
      </w:r>
    </w:p>
    <w:p w14:paraId="3B313F63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14. не используется</w:t>
      </w:r>
    </w:p>
    <w:p w14:paraId="6B5983D1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15. не используется</w:t>
      </w:r>
    </w:p>
    <w:p w14:paraId="6422D45F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16. не используется</w:t>
      </w:r>
    </w:p>
    <w:p w14:paraId="273A2CA3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17. не используется</w:t>
      </w:r>
    </w:p>
    <w:p w14:paraId="7DCF20CF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18. не используется</w:t>
      </w:r>
    </w:p>
    <w:p w14:paraId="16C60E47" w14:textId="2C327411" w:rsid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19. не используется</w:t>
      </w:r>
    </w:p>
    <w:p w14:paraId="269B67D9" w14:textId="32EBC819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683FE0" w14:textId="2C673138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7F7B4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3B350E" w14:textId="661EFA2A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Pr="00EC1A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ДОПОЛНИТЕЛЬНОЕ </w:t>
      </w:r>
      <w:r w:rsidRPr="00EC1A1F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И </w:t>
      </w:r>
      <w:r w:rsidRPr="00EC1A1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</w:t>
      </w:r>
    </w:p>
    <w:p w14:paraId="11A2ED7F" w14:textId="3903D4FB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весы, емкости для взвешивания;</w:t>
      </w:r>
    </w:p>
    <w:p w14:paraId="327DD284" w14:textId="28819930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перчатки;</w:t>
      </w:r>
    </w:p>
    <w:p w14:paraId="2001E055" w14:textId="2682AFB8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гомогенизатор (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вортекс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>, миксер);</w:t>
      </w:r>
    </w:p>
    <w:p w14:paraId="0307D035" w14:textId="2891AC3B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автоматическое устройство для промывки планшетов либо 8-канальная микропипетка 100-300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CB44FD" w14:textId="0E66105E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шейкер для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микропланшетов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227F8B" w14:textId="0738DF61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микропланшетный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фотометр с фильтром 450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83DBF9" w14:textId="4A255025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пипет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-дозаторы 10-1000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мклпипет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>-дозатор 2,5 мл;</w:t>
      </w:r>
    </w:p>
    <w:p w14:paraId="6B1654C5" w14:textId="44B81F30" w:rsid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дистиллированная вода.</w:t>
      </w:r>
    </w:p>
    <w:p w14:paraId="2026262E" w14:textId="77777777" w:rsidR="007116BE" w:rsidRP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BEE7F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7. МЕРЫ ПРЕДОСТОРОЖНОСТИ</w:t>
      </w:r>
    </w:p>
    <w:p w14:paraId="09F2286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Набор может содержать опасные вещества. За дополнительной информацией обращайтесь к соответствующим паспортам безопасности (SDS).</w:t>
      </w:r>
    </w:p>
    <w:p w14:paraId="2A0497DD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Избегайте контакта биологических проб с кожей и слизистыми.</w:t>
      </w:r>
    </w:p>
    <w:p w14:paraId="0D42C5B7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пипетируйте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реагенты ртом.</w:t>
      </w:r>
    </w:p>
    <w:p w14:paraId="55A7BB7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допускайте потребления пищи или жидкости, курения, хранения или приготовления пищи, применения косметики в пределах обозначенной рабочей области. </w:t>
      </w:r>
    </w:p>
    <w:p w14:paraId="1ECEE693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Не используйте компоненты набора после истечения их срока годности и не перемешивайте компоненты из разных партий. </w:t>
      </w:r>
    </w:p>
    <w:p w14:paraId="027046EF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Каждая лунка используется как оптическая кювета. Поэтому не прикасайтесь к поверхности лунок, не допускайте их повреждения и загрязнения.</w:t>
      </w:r>
    </w:p>
    <w:p w14:paraId="285DF4C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Все компоненты должны быть полностью растворены перед применением. Обращайте особое внимание на субстрат и концентрат промывочного буфера, которые имеют тенденцию к кристаллизации при температуре +4 °C.</w:t>
      </w:r>
    </w:p>
    <w:p w14:paraId="0F571DCB" w14:textId="006E4D26" w:rsid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Оптимальные результаты могут быть получены при строгом соблюдении протокола анализа. Точность и воспроизводимость результатов анализа зависит от аккуратности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пипетирования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и равномерного промывания лунок.</w:t>
      </w:r>
    </w:p>
    <w:p w14:paraId="3721EE85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R-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Biopharm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Nederland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не дает никаких гарантий, явных или подразумеваемых, за исключением того, что материалы, из которых произведена продукция, стандартного качества. Дефектные продукты будут заменены.</w:t>
      </w:r>
    </w:p>
    <w:p w14:paraId="22925777" w14:textId="2BC8237C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R-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ru-RU"/>
        </w:rPr>
        <w:t>Biopharm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ru-RU"/>
        </w:rPr>
        <w:t xml:space="preserve"> не несет ответственности за любой ущерб, включая специальный или косвенный ущерб, или расходы, возникающие непосредственно или косвенно от использования этого продукта.</w:t>
      </w:r>
    </w:p>
    <w:p w14:paraId="470EEE18" w14:textId="77777777" w:rsidR="007116BE" w:rsidRP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1EBE6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8. ПОДГОТОВКА ПРОБ</w:t>
      </w:r>
    </w:p>
    <w:p w14:paraId="1DDCF245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>8.1 Детское сухое питание</w:t>
      </w:r>
    </w:p>
    <w:p w14:paraId="40470D0B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- Взвесьте 1 г образца и залейте водой для получения объема 10 мл.</w:t>
      </w:r>
    </w:p>
    <w:p w14:paraId="00CC3FE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- Встряхните на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, а затем перемешайте раствор в течение 5 мин.</w:t>
      </w:r>
    </w:p>
    <w:p w14:paraId="36BB6F4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- Разведите образец в 200 раз буфером для разведения следующим образом: добавьте 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образца к 450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буфера для разведения (10-кратное разведение), перемешайте и затем добавьте 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10-кратно разведенного образца к 950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буфера для разведения, чтобы получить 200-кратное разбавление, перемешайте.</w:t>
      </w:r>
    </w:p>
    <w:p w14:paraId="4FA80C9F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- В ИФА используйте 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разведенного образца на лунку.</w:t>
      </w:r>
    </w:p>
    <w:p w14:paraId="7CF9064D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73B04E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8.2 Детское сухое питание, содержащее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u w:val="single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 &gt; 2500 мкг/г</w:t>
      </w:r>
    </w:p>
    <w:p w14:paraId="093F95C1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Подготовка образцов, требующих дальнейших разведений для получения результатов в линейной части диапазона калибровки.</w:t>
      </w:r>
    </w:p>
    <w:p w14:paraId="6760B280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- Подготовьте образец, содержащий высокий уровень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, как указано в пункте 8.1.</w:t>
      </w:r>
    </w:p>
    <w:p w14:paraId="03ACCAD8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- Приготовьте чистый образец детского сухого питания (образец, не содержащий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), как указано в пункте 8.1.</w:t>
      </w:r>
    </w:p>
    <w:p w14:paraId="0B1560C7" w14:textId="55F1106E" w:rsidR="00EC1A1F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- Используйте разведенный чистый образец детского сухого молока, чтобы разбавить образец, содержащий высокий уровень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, например: для конечного коэффициента разведения </w:t>
      </w:r>
      <w:r w:rsidRPr="007116BE">
        <w:rPr>
          <w:rFonts w:ascii="Times New Roman" w:hAnsi="Times New Roman" w:cs="Times New Roman"/>
          <w:sz w:val="24"/>
          <w:szCs w:val="24"/>
        </w:rPr>
        <w:lastRenderedPageBreak/>
        <w:t xml:space="preserve">1/10000 необходимо смешать 100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разведенного тестируемого образца с 400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раствора чистого образца.</w:t>
      </w:r>
    </w:p>
    <w:p w14:paraId="1C10219B" w14:textId="77777777" w:rsidR="007116BE" w:rsidRP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2E741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9. ПОДГОТОВКА РЕАГЕНТОВ</w:t>
      </w:r>
    </w:p>
    <w:p w14:paraId="430FAB11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Перед началом испытаний реагенты должны быть доведены до температуры окружающей среды. Любые неиспользованные реагенты должны быть немедленно возвращены на хранение в температуру 2 - 8ºC. </w:t>
      </w:r>
    </w:p>
    <w:p w14:paraId="4B227F8B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16BE">
        <w:rPr>
          <w:rFonts w:ascii="Times New Roman" w:hAnsi="Times New Roman" w:cs="Times New Roman"/>
          <w:sz w:val="24"/>
          <w:szCs w:val="24"/>
          <w:u w:val="single"/>
        </w:rPr>
        <w:t>Микротитровальный</w:t>
      </w:r>
      <w:proofErr w:type="spellEnd"/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 планшет </w:t>
      </w:r>
    </w:p>
    <w:p w14:paraId="0583E59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Верните неиспользованные лунки в закрывающийся пакет с осушителем и храните при температуре 2 - 8ºC до использования в последующих анализах. Сохраните также держатель лунок.</w:t>
      </w:r>
    </w:p>
    <w:p w14:paraId="300ABEFF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>Буфер для разведения (10 х концентрат)</w:t>
      </w:r>
    </w:p>
    <w:p w14:paraId="274E15E1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Буфер для разведения поставляется в концентрации 10х. Этот буфер используется для разведения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и образцов. Перед использованием необходимо развести буфер 1:10 (10 мл буфера + 90 мл дистиллированной воды). Концентрированный буфер должен быть нагрет до комнатной температуры (20 - 25ºC)  и тщательно перемешан. Концентрированный буфер может содержать осадок. Разбавленный буфер должен храниться при температуре от 2 до 8ºC.</w:t>
      </w:r>
    </w:p>
    <w:p w14:paraId="79AA190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Буфер для промывки (20 х концентрат) </w:t>
      </w:r>
    </w:p>
    <w:p w14:paraId="0D8EF58A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Буфер для промывки поставляется в концентрации 20х. Буфер необходимо приготовить непосредственно перед использованием. На один стрип необходимо 40 мл разведенного раствора (2 мл концентрата буфера + 38 мл дистиллированной воды). </w:t>
      </w:r>
    </w:p>
    <w:p w14:paraId="406E7A70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>Раствор субстрата</w:t>
      </w:r>
    </w:p>
    <w:p w14:paraId="695BE337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Раствор субстрата (готовый к применению, 12 мл). Довести температуру раствора до комнатной, избегать попадания света, перед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перемешать содержимое (возможно образование осадка при 4ºC).</w:t>
      </w:r>
    </w:p>
    <w:p w14:paraId="0528AE98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Стандартный раствор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u w:val="single"/>
        </w:rPr>
        <w:t>лактоферрина</w:t>
      </w:r>
      <w:proofErr w:type="spellEnd"/>
    </w:p>
    <w:p w14:paraId="04BEA921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Для приготовления серийного разведения стандарта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необходимо добавить 2 мл буфера для разведения к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лиофилизированному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стандарту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и перемешать. Полученный раствор содержит 2,5 мкг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на мл.</w:t>
      </w:r>
    </w:p>
    <w:p w14:paraId="216B1B6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Перенесите 0,25 мл этого раствора в чистую пробирку и добавьте 0,25 мл буфера для разведения. Полученный раствор содержит 1,25 мкг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на мл. Аналогично продолжайте процедуру разведения для получения диапазона серийных разведений: 2,5, 1,25, 0,625, 0,313, 0,156 и 0,078 мкг/мл.</w:t>
      </w:r>
    </w:p>
    <w:p w14:paraId="158C1A9A" w14:textId="2E496ACA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Раствор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u w:val="single"/>
        </w:rPr>
        <w:t>конъюгата</w:t>
      </w:r>
      <w:proofErr w:type="spellEnd"/>
    </w:p>
    <w:p w14:paraId="778C6FCF" w14:textId="064BDC3F" w:rsid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поставляется в концентрации 100х. Предварительно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процентрифугируйте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(1 мин, 1000 х g). Смешайте 5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концентрированного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и 495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буфера для разведения. На 16 лунок (2 стрипа) требуется 800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рабочего раствора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. Хранить неиспользованный концентрированный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необходимо при 2 - 8 °С.</w:t>
      </w:r>
    </w:p>
    <w:p w14:paraId="274D1A08" w14:textId="77777777" w:rsidR="007116BE" w:rsidRP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AA436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10. ПРОЦЕДУРА АНАЛИЗА</w:t>
      </w:r>
    </w:p>
    <w:p w14:paraId="07B17827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>Протокол промывки</w:t>
      </w:r>
    </w:p>
    <w:p w14:paraId="3E5B172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В ходе выполнения ИФА между этапами инкубации необходимо удалять несвязанные компоненты. Это достигается посредством соответствующей процедуры промывки. Очевидно, что каждая процедура промывки должна проводиться с большой тщательностью, что бы гарантировать повторяемость и воспроизводимость результатов.</w:t>
      </w:r>
    </w:p>
    <w:p w14:paraId="4793383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Промывка вручную или с помощью автоматического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вошера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может осуществляться следующим образом:</w:t>
      </w:r>
    </w:p>
    <w:p w14:paraId="75E046AE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Промывка вручную </w:t>
      </w:r>
    </w:p>
    <w:p w14:paraId="380483F6" w14:textId="4F443BCE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</w:rPr>
        <w:t>Жидкость из лунок вылить путем резкого переворачивания планшета, удалить остатки жидкости путем энергичного постукивания рамки с лунками по столу, накрытому листом сухой фильтровальной бумаги.</w:t>
      </w:r>
    </w:p>
    <w:p w14:paraId="20474CDC" w14:textId="16FB9AB9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</w:rPr>
        <w:t xml:space="preserve">Все лунки заполнить буфером для промывки до края лунки (300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).</w:t>
      </w:r>
    </w:p>
    <w:p w14:paraId="6A5C5B40" w14:textId="2CB17F03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</w:rPr>
        <w:t>Процесс промывки (этапы 1 и 2) повторять трижды.</w:t>
      </w:r>
    </w:p>
    <w:p w14:paraId="7425A374" w14:textId="4A83F99C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</w:rPr>
        <w:t>Жидкость из лунок выливать путем резкого переворачивания планшета.</w:t>
      </w:r>
    </w:p>
    <w:p w14:paraId="62FC86FC" w14:textId="0D8FFAD4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</w:rPr>
        <w:t>После последнего промывания планшет перевернуть и удалить остатки жидкости путем энергичного постукивания рамки с лунками по столу, накрытому листом сухой фильтровальной бумаги</w:t>
      </w:r>
    </w:p>
    <w:p w14:paraId="0CD3567B" w14:textId="0C1930EC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</w:rPr>
        <w:t>Не допускать высыхания лунок перед внесением следующего реагента.</w:t>
      </w:r>
    </w:p>
    <w:p w14:paraId="57EA6A8B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 xml:space="preserve">Промывание с помощью автоматического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u w:val="single"/>
        </w:rPr>
        <w:t>вошера</w:t>
      </w:r>
      <w:proofErr w:type="spellEnd"/>
    </w:p>
    <w:p w14:paraId="57063222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При использовании автоматического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вошера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проверьте, чтобы из всех лунок жидкость удалялась полностью, чтобы раствор для промывания тщательно распределялся, заполняя до края каждую лунку во время каждого цикла промывания.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Вошер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должен быть запрограммирован на выполнение трех циклов промывки.</w:t>
      </w:r>
    </w:p>
    <w:p w14:paraId="23BE21D0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>Протокол анализа</w:t>
      </w:r>
    </w:p>
    <w:p w14:paraId="5023EBC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1. подготовить образцы в соответствии с главой 8 (подготовка образцов) и подготовить реагенты в соответствии с главой 9 (приготовление реагентов);</w:t>
      </w:r>
    </w:p>
    <w:p w14:paraId="0D18E22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2. внести 100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буфера для разведения в двух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(лунки H1, H2, холостая проба);</w:t>
      </w:r>
    </w:p>
    <w:p w14:paraId="0EA88FC5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внести 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буфера для разведения в двух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(лунки А1, А2, макс. опт. плотность,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Bmax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);</w:t>
      </w:r>
    </w:p>
    <w:p w14:paraId="73A02260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внести 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каждого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раствора в двух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(лунки от В1,2 до G1,2 т.е. 0,078, 0,156, 0,313, 0,625, 1,25 и 2,5 мкг/мл);</w:t>
      </w:r>
    </w:p>
    <w:p w14:paraId="6153A459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3. внести по 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раствора каждого образца в двух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в оставшиеся лунки планшета;</w:t>
      </w:r>
    </w:p>
    <w:p w14:paraId="60D4E4B0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4. внести по 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во все лунки за исключением Н1 и Н2;</w:t>
      </w:r>
    </w:p>
    <w:p w14:paraId="62562587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5. запечатайте планшет и перемешайте его содержимое в течение нескольких секунд (на шейкере для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микротитровальных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планшетов либо аккуратными круговыми движениями);</w:t>
      </w:r>
    </w:p>
    <w:p w14:paraId="1DEA93F9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6. планшет инкубировать в течение 30 мин при температуре 20-25ºС;</w:t>
      </w:r>
    </w:p>
    <w:p w14:paraId="4B3B6876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7. удалить раствор из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микротитровального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планшета и промыть 3 раза буфером для промывки;</w:t>
      </w:r>
    </w:p>
    <w:p w14:paraId="412348C4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8. внести по 100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раствора субстрата во все лунки; </w:t>
      </w:r>
    </w:p>
    <w:p w14:paraId="01AB4F23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>9. инкубировать планшет в темноте в течение 15 минут при температуре 20 - 25˚С;</w:t>
      </w:r>
    </w:p>
    <w:p w14:paraId="2407B394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10. внести по 100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стоп-реагента во все лунки;</w:t>
      </w:r>
    </w:p>
    <w:p w14:paraId="6F14D2D3" w14:textId="2E28EF5C" w:rsidR="00EC1A1F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11. сразу же измерить оптическую плотность при 450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>.</w:t>
      </w:r>
    </w:p>
    <w:p w14:paraId="73735CC8" w14:textId="77777777" w:rsidR="007116BE" w:rsidRPr="00EC1A1F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D1D671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11. ИНТЕРПРЕТАЦИЯ РЕЗУЛЬТАТОВ</w:t>
      </w:r>
    </w:p>
    <w:p w14:paraId="29B2E3C9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Значения ОП образцов, измеренные в этом анализ, преобразуются в соответствующие концентрации следующим образом:</w:t>
      </w:r>
    </w:p>
    <w:p w14:paraId="4ED95FAC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Среднее значение оптической плотности (ОП) холостых лунок вычитается из индивидуальной ОП. лунок, содержащих стандарты и образцы. Тогда эти значения ОП стандартов и образцов (средние значения дубликатов) делятся на среднее значение ОП нулевого стандарта и умножается на 100. Таким образом, нулевой стандарт становится равным 100% (максимальное поглощение), а остальная ОП. значения указаны в процентах от максимального поглощения.</w:t>
      </w:r>
    </w:p>
    <w:p w14:paraId="04383888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Значения, рассчитанные для стандартов, вводятся в полулогарифмический график зависимости концентрации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>.</w:t>
      </w:r>
    </w:p>
    <w:p w14:paraId="7BDD7439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Альтернатива калибровочной кривой:</w:t>
      </w:r>
    </w:p>
    <w:p w14:paraId="79C09F19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Значения абсорбции (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logit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) расчета стандартов отложены на оси Y в зависимости от эквивалентной концентрации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на логарифмической оси X.</w:t>
      </w:r>
    </w:p>
    <w:p w14:paraId="6DA46D9A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Для удобства клиентов R-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предлагает 2 программы, которые можно использовать для интерпретации результатов ИФА:</w:t>
      </w:r>
    </w:p>
    <w:p w14:paraId="580D9FF6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- RIDASOFT®Win.NET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(артикул Z9996FF). В этой программе все тесты R-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ELISA (включая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>) предварительно запрограммированы в базе данных. Список совместимых ридеров предоставляется по запросу.</w:t>
      </w:r>
    </w:p>
    <w:p w14:paraId="65D8938B" w14:textId="77777777" w:rsid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Simplefit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. Эта программа на базе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разработана для расчета результатов всех тестов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>.</w:t>
      </w:r>
    </w:p>
    <w:p w14:paraId="366C34C5" w14:textId="77777777" w:rsidR="007116BE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16BE">
        <w:rPr>
          <w:rFonts w:ascii="Times New Roman" w:hAnsi="Times New Roman" w:cs="Times New Roman"/>
          <w:sz w:val="24"/>
          <w:szCs w:val="24"/>
          <w:u w:val="single"/>
        </w:rPr>
        <w:t>8.1 Детское сухое питание</w:t>
      </w:r>
    </w:p>
    <w:p w14:paraId="03540106" w14:textId="2C8C431C" w:rsidR="00EF6E2C" w:rsidRP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6BE">
        <w:rPr>
          <w:rFonts w:ascii="Times New Roman" w:hAnsi="Times New Roman" w:cs="Times New Roman"/>
          <w:sz w:val="24"/>
          <w:szCs w:val="24"/>
        </w:rPr>
        <w:t xml:space="preserve">Для оценки концентрации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(мкг/мл) в образцах детского питания, полученное содержание </w:t>
      </w:r>
      <w:proofErr w:type="spellStart"/>
      <w:r w:rsidRPr="007116BE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7116BE">
        <w:rPr>
          <w:rFonts w:ascii="Times New Roman" w:hAnsi="Times New Roman" w:cs="Times New Roman"/>
          <w:sz w:val="24"/>
          <w:szCs w:val="24"/>
        </w:rPr>
        <w:t xml:space="preserve"> умножают на фактор 2000.</w:t>
      </w:r>
    </w:p>
    <w:p w14:paraId="1BF75D9E" w14:textId="77777777" w:rsidR="007116BE" w:rsidRDefault="007116BE" w:rsidP="00711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CBF936" w14:textId="18C3D77E" w:rsidR="00EF6E2C" w:rsidRPr="007116BE" w:rsidRDefault="00EF6E2C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6E2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12. </w:t>
      </w: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  <w:r w:rsidRPr="007116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1E6CFAA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E2C">
        <w:rPr>
          <w:rFonts w:ascii="Times New Roman" w:hAnsi="Times New Roman" w:cs="Times New Roman"/>
          <w:sz w:val="24"/>
          <w:szCs w:val="24"/>
          <w:lang w:val="en-US"/>
        </w:rPr>
        <w:t>Council Directive 70/524/EEC of 23 November 1970 concerning additives in feeding stuffs. Official Journal of the European Communities L270: 1-34.</w:t>
      </w:r>
    </w:p>
    <w:p w14:paraId="3EB993EF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Council Regulation 2821/98 of 17 December 1998 amending, as regards withdrawal of the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en-US"/>
        </w:rPr>
        <w:t>authorisation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 of certain antibiotics, Directive 70/524/EEC concerning additives in feeding stuffs. Official Journal of the European Communities L351: 4-8.</w:t>
      </w:r>
    </w:p>
    <w:p w14:paraId="2C2EACCE" w14:textId="23FDB06A" w:rsidR="00EF6E2C" w:rsidRPr="007116BE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Commission Regulation 2788/98 of 22 December 1998 amending Council Directive 70/524/EEC concerning additives in feeding stuffs as regards the withdrawal of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en-US"/>
        </w:rPr>
        <w:t>authorisation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 for certain growth promoters. </w:t>
      </w:r>
      <w:r w:rsidRPr="007116BE">
        <w:rPr>
          <w:rFonts w:ascii="Times New Roman" w:hAnsi="Times New Roman" w:cs="Times New Roman"/>
          <w:sz w:val="24"/>
          <w:szCs w:val="24"/>
          <w:lang w:val="en-US"/>
        </w:rPr>
        <w:t>Official Journal of the European Communities L347: 31-32.</w:t>
      </w:r>
    </w:p>
    <w:p w14:paraId="56659292" w14:textId="11B4D07F" w:rsidR="00EF6E2C" w:rsidRPr="007116BE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B2B700" w14:textId="77777777" w:rsidR="00EF6E2C" w:rsidRPr="007116BE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16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13. </w:t>
      </w: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ИНФОРМАЦИЯ</w:t>
      </w:r>
      <w:r w:rsidRPr="007116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7116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ЗАКАЗЕ</w:t>
      </w:r>
    </w:p>
    <w:p w14:paraId="1F1F02DD" w14:textId="5B7D649F" w:rsidR="00EF6E2C" w:rsidRDefault="007116BE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6B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71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заказа</w:t>
      </w:r>
      <w:r w:rsidRPr="0071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теста</w:t>
      </w:r>
      <w:r w:rsidRPr="0071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6BE">
        <w:rPr>
          <w:rFonts w:ascii="Times New Roman" w:hAnsi="Times New Roman" w:cs="Times New Roman"/>
          <w:sz w:val="24"/>
          <w:szCs w:val="24"/>
          <w:lang w:val="en-US"/>
        </w:rPr>
        <w:t>EuroProxima</w:t>
      </w:r>
      <w:proofErr w:type="spellEnd"/>
      <w:r w:rsidRPr="007116BE">
        <w:rPr>
          <w:rFonts w:ascii="Times New Roman" w:hAnsi="Times New Roman" w:cs="Times New Roman"/>
          <w:sz w:val="24"/>
          <w:szCs w:val="24"/>
          <w:lang w:val="en-US"/>
        </w:rPr>
        <w:t xml:space="preserve"> Lactoferrin FAST ELISA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используйте</w:t>
      </w:r>
      <w:r w:rsidRPr="0071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6BE">
        <w:rPr>
          <w:rFonts w:ascii="Times New Roman" w:hAnsi="Times New Roman" w:cs="Times New Roman"/>
          <w:sz w:val="24"/>
          <w:szCs w:val="24"/>
          <w:lang w:val="ru-RU"/>
        </w:rPr>
        <w:t>код</w:t>
      </w:r>
      <w:r w:rsidRPr="007116BE">
        <w:rPr>
          <w:rFonts w:ascii="Times New Roman" w:hAnsi="Times New Roman" w:cs="Times New Roman"/>
          <w:sz w:val="24"/>
          <w:szCs w:val="24"/>
          <w:lang w:val="en-US"/>
        </w:rPr>
        <w:t xml:space="preserve"> 5091LFERF.</w:t>
      </w:r>
    </w:p>
    <w:p w14:paraId="748A129B" w14:textId="77777777" w:rsidR="007116BE" w:rsidRPr="007116BE" w:rsidRDefault="007116BE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2C893528" w14:textId="308946E2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>14. ИСТОРИЯ ВЕРСИЙ</w:t>
      </w:r>
    </w:p>
    <w:p w14:paraId="60AF495D" w14:textId="07622340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sz w:val="24"/>
          <w:szCs w:val="24"/>
          <w:lang w:val="ru-RU"/>
        </w:rPr>
        <w:t>Глава 11 была обновлена.</w:t>
      </w:r>
    </w:p>
    <w:sectPr w:rsidR="00EF6E2C" w:rsidRPr="00EF6E2C" w:rsidSect="00512032">
      <w:headerReference w:type="defaul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7AC97" w14:textId="77777777" w:rsidR="00512032" w:rsidRDefault="00512032" w:rsidP="00512032">
      <w:pPr>
        <w:spacing w:after="0" w:line="240" w:lineRule="auto"/>
      </w:pPr>
      <w:r>
        <w:separator/>
      </w:r>
    </w:p>
  </w:endnote>
  <w:endnote w:type="continuationSeparator" w:id="0">
    <w:p w14:paraId="5A605DD4" w14:textId="77777777" w:rsidR="00512032" w:rsidRDefault="00512032" w:rsidP="0051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0A1E9" w14:textId="77777777" w:rsidR="00512032" w:rsidRDefault="00512032" w:rsidP="00512032">
      <w:pPr>
        <w:spacing w:after="0" w:line="240" w:lineRule="auto"/>
      </w:pPr>
      <w:r>
        <w:separator/>
      </w:r>
    </w:p>
  </w:footnote>
  <w:footnote w:type="continuationSeparator" w:id="0">
    <w:p w14:paraId="08AB3977" w14:textId="77777777" w:rsidR="00512032" w:rsidRDefault="00512032" w:rsidP="0051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1F890" w14:textId="7F448AFA" w:rsidR="00512032" w:rsidRDefault="007116BE">
    <w:pPr>
      <w:pStyle w:val="a5"/>
      <w:jc w:val="right"/>
    </w:pPr>
    <w:r w:rsidRPr="007116BE">
      <w:rPr>
        <w:lang w:val="en-US"/>
      </w:rPr>
      <w:t>5091LFERF[7]02.24</w:t>
    </w:r>
    <w:r w:rsidR="00356B73">
      <w:rPr>
        <w:lang w:val="en-US"/>
      </w:rPr>
      <w:t xml:space="preserve">                                                                                                                                                               </w:t>
    </w:r>
    <w:sdt>
      <w:sdtPr>
        <w:id w:val="1621035791"/>
        <w:docPartObj>
          <w:docPartGallery w:val="Page Numbers (Top of Page)"/>
          <w:docPartUnique/>
        </w:docPartObj>
      </w:sdtPr>
      <w:sdtEndPr/>
      <w:sdtContent>
        <w:r w:rsidR="00512032">
          <w:fldChar w:fldCharType="begin"/>
        </w:r>
        <w:r w:rsidR="00512032">
          <w:instrText>PAGE   \* MERGEFORMAT</w:instrText>
        </w:r>
        <w:r w:rsidR="00512032">
          <w:fldChar w:fldCharType="separate"/>
        </w:r>
        <w:r w:rsidR="00512032">
          <w:rPr>
            <w:lang w:val="ru-RU"/>
          </w:rPr>
          <w:t>2</w:t>
        </w:r>
        <w:r w:rsidR="00512032">
          <w:fldChar w:fldCharType="end"/>
        </w:r>
      </w:sdtContent>
    </w:sdt>
  </w:p>
  <w:p w14:paraId="61396F72" w14:textId="77777777" w:rsidR="00512032" w:rsidRDefault="005120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2"/>
    <w:rsid w:val="000A357A"/>
    <w:rsid w:val="000F28DD"/>
    <w:rsid w:val="00190B04"/>
    <w:rsid w:val="00356B73"/>
    <w:rsid w:val="0037230A"/>
    <w:rsid w:val="0037328B"/>
    <w:rsid w:val="004E6CEE"/>
    <w:rsid w:val="00512032"/>
    <w:rsid w:val="005C37B9"/>
    <w:rsid w:val="005F5964"/>
    <w:rsid w:val="006519C7"/>
    <w:rsid w:val="007116BE"/>
    <w:rsid w:val="007362C5"/>
    <w:rsid w:val="0076153E"/>
    <w:rsid w:val="009B1F30"/>
    <w:rsid w:val="00A2581A"/>
    <w:rsid w:val="00B77F15"/>
    <w:rsid w:val="00BC1DCC"/>
    <w:rsid w:val="00BE7B8A"/>
    <w:rsid w:val="00C270EE"/>
    <w:rsid w:val="00C74952"/>
    <w:rsid w:val="00CC6DC3"/>
    <w:rsid w:val="00D36529"/>
    <w:rsid w:val="00D3697F"/>
    <w:rsid w:val="00EC1A1F"/>
    <w:rsid w:val="00ED7F42"/>
    <w:rsid w:val="00E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5C8C"/>
  <w15:chartTrackingRefBased/>
  <w15:docId w15:val="{E2E67F22-8D29-466F-A6AA-DB27717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ЗАГОЛОВОК"/>
    <w:basedOn w:val="a"/>
    <w:link w:val="10"/>
    <w:qFormat/>
    <w:rsid w:val="0037328B"/>
    <w:pPr>
      <w:pageBreakBefore/>
    </w:pPr>
    <w:rPr>
      <w:rFonts w:ascii="Arial" w:hAnsi="Arial"/>
      <w:b/>
      <w:sz w:val="48"/>
    </w:rPr>
  </w:style>
  <w:style w:type="character" w:customStyle="1" w:styleId="10">
    <w:name w:val="1ЗАГОЛОВОК Знак"/>
    <w:basedOn w:val="a0"/>
    <w:link w:val="1"/>
    <w:rsid w:val="0037328B"/>
    <w:rPr>
      <w:rFonts w:ascii="Arial" w:hAnsi="Arial"/>
      <w:b/>
      <w:sz w:val="48"/>
    </w:rPr>
  </w:style>
  <w:style w:type="paragraph" w:customStyle="1" w:styleId="11">
    <w:name w:val="1раздел"/>
    <w:basedOn w:val="1"/>
    <w:link w:val="12"/>
    <w:qFormat/>
    <w:rsid w:val="0037328B"/>
    <w:rPr>
      <w:sz w:val="36"/>
      <w:lang w:val="ru-RU"/>
    </w:rPr>
  </w:style>
  <w:style w:type="character" w:customStyle="1" w:styleId="12">
    <w:name w:val="1раздел Знак"/>
    <w:basedOn w:val="10"/>
    <w:link w:val="11"/>
    <w:rsid w:val="0037328B"/>
    <w:rPr>
      <w:rFonts w:ascii="Arial" w:hAnsi="Arial"/>
      <w:b/>
      <w:sz w:val="36"/>
      <w:lang w:val="ru-RU"/>
    </w:rPr>
  </w:style>
  <w:style w:type="paragraph" w:customStyle="1" w:styleId="2">
    <w:name w:val="2текст"/>
    <w:basedOn w:val="1"/>
    <w:link w:val="20"/>
    <w:qFormat/>
    <w:rsid w:val="007362C5"/>
    <w:pPr>
      <w:spacing w:after="0"/>
      <w:ind w:firstLine="720"/>
      <w:jc w:val="both"/>
    </w:pPr>
    <w:rPr>
      <w:sz w:val="28"/>
      <w:lang w:val="ru-RU"/>
    </w:rPr>
  </w:style>
  <w:style w:type="character" w:customStyle="1" w:styleId="20">
    <w:name w:val="2текст Знак"/>
    <w:basedOn w:val="10"/>
    <w:link w:val="2"/>
    <w:rsid w:val="007362C5"/>
    <w:rPr>
      <w:rFonts w:ascii="Arial" w:hAnsi="Arial"/>
      <w:b/>
      <w:sz w:val="28"/>
      <w:lang w:val="ru-RU"/>
    </w:rPr>
  </w:style>
  <w:style w:type="paragraph" w:styleId="a3">
    <w:name w:val="No Spacing"/>
    <w:link w:val="a4"/>
    <w:uiPriority w:val="1"/>
    <w:qFormat/>
    <w:rsid w:val="00512032"/>
    <w:pPr>
      <w:spacing w:after="0" w:line="240" w:lineRule="auto"/>
    </w:pPr>
    <w:rPr>
      <w:rFonts w:eastAsiaTheme="minorEastAsia"/>
      <w:lang w:eastAsia="ru-BY"/>
    </w:rPr>
  </w:style>
  <w:style w:type="character" w:customStyle="1" w:styleId="a4">
    <w:name w:val="Без интервала Знак"/>
    <w:basedOn w:val="a0"/>
    <w:link w:val="a3"/>
    <w:uiPriority w:val="1"/>
    <w:rsid w:val="00512032"/>
    <w:rPr>
      <w:rFonts w:eastAsiaTheme="minorEastAsia"/>
      <w:lang w:val="ru-BY" w:eastAsia="ru-BY"/>
    </w:rPr>
  </w:style>
  <w:style w:type="paragraph" w:styleId="a5">
    <w:name w:val="header"/>
    <w:basedOn w:val="a"/>
    <w:link w:val="a6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032"/>
  </w:style>
  <w:style w:type="paragraph" w:styleId="a7">
    <w:name w:val="footer"/>
    <w:basedOn w:val="a"/>
    <w:link w:val="a8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032"/>
  </w:style>
  <w:style w:type="table" w:styleId="a9">
    <w:name w:val="Table Grid"/>
    <w:basedOn w:val="a1"/>
    <w:uiPriority w:val="59"/>
    <w:rsid w:val="0051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1203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1203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372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rod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-test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Драгун</dc:creator>
  <cp:keywords/>
  <dc:description/>
  <cp:lastModifiedBy>Юлия Драгун</cp:lastModifiedBy>
  <cp:revision>13</cp:revision>
  <dcterms:created xsi:type="dcterms:W3CDTF">2023-05-25T10:04:00Z</dcterms:created>
  <dcterms:modified xsi:type="dcterms:W3CDTF">2025-04-11T07:15:00Z</dcterms:modified>
</cp:coreProperties>
</file>