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545034630"/>
        <w:docPartObj>
          <w:docPartGallery w:val="Cover Pages"/>
          <w:docPartUnique/>
        </w:docPartObj>
      </w:sdtPr>
      <w:sdtEndPr/>
      <w:sdtContent>
        <w:p w14:paraId="16566970" w14:textId="77777777" w:rsidR="00512032" w:rsidRDefault="00512032"/>
        <w:p w14:paraId="0C17BB51" w14:textId="77777777" w:rsidR="00512032" w:rsidRDefault="00512032"/>
        <w:p w14:paraId="0579CCCC" w14:textId="77777777" w:rsidR="00512032" w:rsidRDefault="00512032"/>
        <w:p w14:paraId="2CB274B1" w14:textId="77777777" w:rsidR="00512032" w:rsidRDefault="00512032"/>
        <w:p w14:paraId="5533882F" w14:textId="77777777" w:rsidR="00512032" w:rsidRDefault="00512032"/>
        <w:p w14:paraId="34FC63C4" w14:textId="77777777" w:rsidR="00512032" w:rsidRDefault="00512032"/>
        <w:p w14:paraId="518C373C" w14:textId="77777777" w:rsidR="00512032" w:rsidRDefault="00512032"/>
        <w:p w14:paraId="0B2FDB42" w14:textId="77777777" w:rsidR="00512032" w:rsidRDefault="00512032"/>
        <w:p w14:paraId="45FB1A04" w14:textId="77777777" w:rsidR="00512032" w:rsidRDefault="00512032"/>
        <w:p w14:paraId="4D21D748" w14:textId="77777777" w:rsidR="00512032" w:rsidRDefault="00512032"/>
        <w:p w14:paraId="264CB81B" w14:textId="77777777" w:rsidR="00512032" w:rsidRDefault="00512032"/>
        <w:p w14:paraId="683F9A34" w14:textId="77777777" w:rsidR="00512032" w:rsidRDefault="00512032"/>
        <w:p w14:paraId="6B0BB825" w14:textId="77777777" w:rsidR="00512032" w:rsidRDefault="00512032"/>
        <w:p w14:paraId="3BA45BED" w14:textId="77777777" w:rsidR="00512032" w:rsidRDefault="00512032"/>
        <w:p w14:paraId="2B676FEF" w14:textId="77777777" w:rsidR="00512032" w:rsidRDefault="00512032"/>
        <w:p w14:paraId="3A3DFFB0" w14:textId="77777777" w:rsidR="00512032" w:rsidRDefault="00512032"/>
        <w:p w14:paraId="7786D0EF" w14:textId="77777777" w:rsidR="00512032" w:rsidRDefault="00512032"/>
        <w:p w14:paraId="0A0A6467" w14:textId="77777777" w:rsidR="00512032" w:rsidRDefault="00512032"/>
        <w:p w14:paraId="4BBA7565" w14:textId="77777777" w:rsidR="00512032" w:rsidRDefault="00512032"/>
        <w:p w14:paraId="4B368373" w14:textId="1089D315" w:rsidR="00512032" w:rsidRDefault="001E3FA8" w:rsidP="001E3FA8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36"/>
              <w:szCs w:val="36"/>
              <w:lang w:val="ru-RU"/>
            </w:rPr>
            <w:t>Фторхинолоны</w:t>
          </w:r>
          <w:proofErr w:type="spellEnd"/>
          <w:r w:rsidR="00512032" w:rsidRPr="00512032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ИФА</w:t>
          </w:r>
        </w:p>
        <w:p w14:paraId="12739756" w14:textId="140CA5B7" w:rsidR="001E3FA8" w:rsidRPr="00512032" w:rsidRDefault="001E3FA8" w:rsidP="001E3FA8">
          <w:pPr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1E3FA8">
            <w:rPr>
              <w:rFonts w:ascii="Times New Roman" w:hAnsi="Times New Roman" w:cs="Times New Roman"/>
              <w:b/>
              <w:bCs/>
              <w:sz w:val="36"/>
              <w:szCs w:val="36"/>
            </w:rPr>
            <w:t>(общий тест)</w:t>
          </w:r>
        </w:p>
        <w:p w14:paraId="1AA336CF" w14:textId="37E9B44F" w:rsidR="001E3FA8" w:rsidRPr="005F6F1E" w:rsidRDefault="001E3FA8" w:rsidP="00512032">
          <w:pPr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  <w:lang w:val="ru-RU"/>
            </w:rPr>
          </w:pPr>
          <w:r w:rsidRPr="001E3FA8">
            <w:rPr>
              <w:rFonts w:ascii="Times New Roman" w:hAnsi="Times New Roman" w:cs="Times New Roman"/>
              <w:i/>
              <w:iCs/>
              <w:sz w:val="24"/>
              <w:szCs w:val="24"/>
            </w:rPr>
            <w:t>5101FLUQG [1</w:t>
          </w:r>
          <w:r w:rsidR="005F6F1E">
            <w:rPr>
              <w:rFonts w:ascii="Times New Roman" w:hAnsi="Times New Roman" w:cs="Times New Roman"/>
              <w:i/>
              <w:iCs/>
              <w:sz w:val="24"/>
              <w:szCs w:val="24"/>
              <w:lang w:val="ru-RU"/>
            </w:rPr>
            <w:t>7</w:t>
          </w:r>
          <w:r w:rsidRPr="001E3FA8">
            <w:rPr>
              <w:rFonts w:ascii="Times New Roman" w:hAnsi="Times New Roman" w:cs="Times New Roman"/>
              <w:i/>
              <w:iCs/>
              <w:sz w:val="24"/>
              <w:szCs w:val="24"/>
            </w:rPr>
            <w:t>]0</w:t>
          </w:r>
          <w:r w:rsidR="005F6F1E">
            <w:rPr>
              <w:rFonts w:ascii="Times New Roman" w:hAnsi="Times New Roman" w:cs="Times New Roman"/>
              <w:i/>
              <w:iCs/>
              <w:sz w:val="24"/>
              <w:szCs w:val="24"/>
              <w:lang w:val="ru-RU"/>
            </w:rPr>
            <w:t>2</w:t>
          </w:r>
          <w:r w:rsidRPr="001E3FA8">
            <w:rPr>
              <w:rFonts w:ascii="Times New Roman" w:hAnsi="Times New Roman" w:cs="Times New Roman"/>
              <w:i/>
              <w:iCs/>
              <w:sz w:val="24"/>
              <w:szCs w:val="24"/>
            </w:rPr>
            <w:t>.2</w:t>
          </w:r>
          <w:r w:rsidR="005F6F1E">
            <w:rPr>
              <w:rFonts w:ascii="Times New Roman" w:hAnsi="Times New Roman" w:cs="Times New Roman"/>
              <w:i/>
              <w:iCs/>
              <w:sz w:val="24"/>
              <w:szCs w:val="24"/>
              <w:lang w:val="ru-RU"/>
            </w:rPr>
            <w:t>4</w:t>
          </w:r>
        </w:p>
        <w:p w14:paraId="767D3204" w14:textId="4DE9BA77" w:rsidR="00512032" w:rsidRDefault="00512032" w:rsidP="00512032">
          <w:pPr>
            <w:jc w:val="center"/>
          </w:pPr>
          <w:r w:rsidRPr="00512032">
            <w:rPr>
              <w:rFonts w:ascii="Times New Roman" w:hAnsi="Times New Roman" w:cs="Times New Roman"/>
              <w:sz w:val="28"/>
              <w:szCs w:val="28"/>
            </w:rPr>
            <w:t>Иммуноферментный метод</w:t>
          </w:r>
          <w:r w:rsidRPr="00512032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</w:t>
          </w:r>
          <w:r w:rsidRPr="00512032">
            <w:rPr>
              <w:rFonts w:ascii="Times New Roman" w:hAnsi="Times New Roman" w:cs="Times New Roman"/>
              <w:sz w:val="28"/>
              <w:szCs w:val="28"/>
            </w:rPr>
            <w:t xml:space="preserve">для скрининга и количественного определения </w:t>
          </w:r>
          <w:proofErr w:type="spellStart"/>
          <w:r w:rsidR="001E3FA8">
            <w:rPr>
              <w:rFonts w:ascii="Times New Roman" w:hAnsi="Times New Roman" w:cs="Times New Roman"/>
              <w:sz w:val="28"/>
              <w:szCs w:val="28"/>
              <w:lang w:val="ru-RU"/>
            </w:rPr>
            <w:t>фторхинолонов</w:t>
          </w:r>
          <w:proofErr w:type="spellEnd"/>
          <w:r w:rsidRPr="00512032">
            <w:rPr>
              <w:rFonts w:ascii="Times New Roman" w:hAnsi="Times New Roman" w:cs="Times New Roman"/>
              <w:sz w:val="28"/>
              <w:szCs w:val="28"/>
            </w:rPr>
            <w:t xml:space="preserve"> в различных матрицах</w:t>
          </w:r>
          <w:r>
            <w:br w:type="page"/>
          </w:r>
        </w:p>
      </w:sdtContent>
    </w:sdt>
    <w:p w14:paraId="3BF4AF47" w14:textId="77777777" w:rsidR="00512032" w:rsidRDefault="00512032" w:rsidP="0051203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73301">
        <w:rPr>
          <w:rFonts w:ascii="Times New Roman" w:hAnsi="Times New Roman" w:cs="Times New Roman"/>
          <w:sz w:val="28"/>
          <w:szCs w:val="28"/>
        </w:rPr>
        <w:lastRenderedPageBreak/>
        <w:t>Пожалуйста, обращайтесь по вопросам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технической поддержки</w:t>
      </w:r>
      <w:r w:rsidRPr="00E73301">
        <w:rPr>
          <w:rFonts w:ascii="Times New Roman" w:hAnsi="Times New Roman" w:cs="Times New Roman"/>
          <w:sz w:val="28"/>
          <w:szCs w:val="28"/>
        </w:rPr>
        <w:t xml:space="preserve"> и дополнительной информации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к официальным дистрибьюторам на территории Вашей страны</w:t>
      </w:r>
      <w:r w:rsidRPr="00E7330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2032" w14:paraId="00008535" w14:textId="77777777" w:rsidTr="00D14374">
        <w:tc>
          <w:tcPr>
            <w:tcW w:w="4672" w:type="dxa"/>
            <w:tcBorders>
              <w:right w:val="single" w:sz="4" w:space="0" w:color="auto"/>
            </w:tcBorders>
          </w:tcPr>
          <w:p w14:paraId="34F4F8F5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34FF9164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России:</w:t>
            </w:r>
          </w:p>
          <w:p w14:paraId="4B79809F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ООО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НеоТест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0F481EB1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ул. Растопчина, 1Г, г. 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Вла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д</w:t>
            </w:r>
            <w:r w:rsidRPr="00AF33AB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ир</w:t>
            </w:r>
            <w:proofErr w:type="spellEnd"/>
          </w:p>
          <w:p w14:paraId="5CCE385A" w14:textId="02F40E80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+7 499 </w:t>
            </w:r>
            <w:r w:rsidR="005F6F1E">
              <w:rPr>
                <w:rFonts w:ascii="Arial" w:hAnsi="Arial" w:cs="Arial"/>
                <w:sz w:val="28"/>
                <w:szCs w:val="28"/>
                <w:lang w:val="ru-RU"/>
              </w:rPr>
              <w:t>911</w:t>
            </w:r>
            <w:r w:rsidRPr="00AF33AB">
              <w:rPr>
                <w:rFonts w:ascii="Arial" w:hAnsi="Arial" w:cs="Arial"/>
                <w:sz w:val="28"/>
                <w:szCs w:val="28"/>
              </w:rPr>
              <w:t xml:space="preserve"> 02 01</w:t>
            </w:r>
          </w:p>
          <w:p w14:paraId="6E54BC8B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info@neo-test.ru</w:t>
            </w:r>
          </w:p>
          <w:p w14:paraId="43D21742" w14:textId="77777777" w:rsidR="00512032" w:rsidRDefault="00D439C8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hyperlink r:id="rId6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www.neo-test.ru</w:t>
              </w:r>
            </w:hyperlink>
          </w:p>
          <w:p w14:paraId="6DD31511" w14:textId="77777777" w:rsidR="00512032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</w:p>
          <w:p w14:paraId="55DC2210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F33A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  <w:t xml:space="preserve">Техническая поддержка </w:t>
            </w:r>
          </w:p>
          <w:p w14:paraId="7913A76F" w14:textId="77777777" w:rsidR="00512032" w:rsidRPr="002F06F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support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@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neo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test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ru</w:t>
            </w:r>
            <w:proofErr w:type="spellEnd"/>
          </w:p>
          <w:p w14:paraId="020B558C" w14:textId="598E19BB" w:rsidR="00512032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+7 499 </w:t>
            </w:r>
            <w:r w:rsidR="005F6F1E">
              <w:rPr>
                <w:rFonts w:ascii="Arial" w:hAnsi="Arial" w:cs="Arial"/>
                <w:sz w:val="28"/>
                <w:szCs w:val="28"/>
                <w:lang w:val="ru-RU"/>
              </w:rPr>
              <w:t>444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05 50</w:t>
            </w:r>
          </w:p>
          <w:p w14:paraId="07DD9808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B1E18EA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708823D" wp14:editId="0C79383A">
                  <wp:extent cx="1962150" cy="7845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НеоТес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42" cy="795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CAEA7B6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4364AC16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Беларуси:</w:t>
            </w:r>
          </w:p>
          <w:p w14:paraId="082A9FF6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ОДО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КомПродСервис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66475D48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ул. Филимонова, 25Г, г. Минск</w:t>
            </w:r>
          </w:p>
          <w:p w14:paraId="5AD286D8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+375 17 336 50 54</w:t>
            </w:r>
          </w:p>
          <w:p w14:paraId="598BF7B1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info@komprod.com</w:t>
            </w:r>
          </w:p>
          <w:p w14:paraId="69AA185E" w14:textId="77777777" w:rsidR="00512032" w:rsidRDefault="00D439C8" w:rsidP="00D14374">
            <w:pPr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www.komprod.com</w:t>
              </w:r>
            </w:hyperlink>
          </w:p>
          <w:p w14:paraId="3D75AA89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1C222F" w14:textId="77777777" w:rsidR="00512032" w:rsidRPr="007910B7" w:rsidRDefault="00512032" w:rsidP="00D14374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10B7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Техническая поддержка</w:t>
            </w:r>
          </w:p>
          <w:p w14:paraId="60584BCD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7910B7">
              <w:rPr>
                <w:rFonts w:ascii="Arial" w:hAnsi="Arial" w:cs="Arial"/>
                <w:sz w:val="28"/>
                <w:szCs w:val="28"/>
              </w:rPr>
              <w:t>support@komprod.com</w:t>
            </w:r>
          </w:p>
          <w:p w14:paraId="3660D270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7910B7">
              <w:rPr>
                <w:rFonts w:ascii="Arial" w:hAnsi="Arial" w:cs="Arial"/>
                <w:sz w:val="28"/>
                <w:szCs w:val="28"/>
              </w:rPr>
              <w:t>+375 17 336 50 54</w:t>
            </w:r>
          </w:p>
          <w:p w14:paraId="3B75D9CC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31290C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16EC949" wp14:editId="322CC28C">
                  <wp:extent cx="2476500" cy="4847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488" cy="49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02FF8C" w14:textId="77777777" w:rsidR="005F5964" w:rsidRDefault="005F5964"/>
    <w:p w14:paraId="211267AB" w14:textId="77777777" w:rsidR="00512032" w:rsidRDefault="00512032"/>
    <w:p w14:paraId="5A1FC929" w14:textId="77777777" w:rsidR="00512032" w:rsidRDefault="00512032"/>
    <w:p w14:paraId="10751306" w14:textId="77777777" w:rsidR="00512032" w:rsidRDefault="00512032"/>
    <w:p w14:paraId="76677A95" w14:textId="77777777" w:rsidR="00512032" w:rsidRDefault="00512032"/>
    <w:p w14:paraId="7AD6A92D" w14:textId="77777777" w:rsidR="00512032" w:rsidRDefault="00512032"/>
    <w:p w14:paraId="182517B7" w14:textId="77777777" w:rsidR="00512032" w:rsidRDefault="00512032"/>
    <w:p w14:paraId="620B7E67" w14:textId="77777777" w:rsidR="00512032" w:rsidRDefault="00512032"/>
    <w:p w14:paraId="6DFD14B9" w14:textId="77777777" w:rsidR="00512032" w:rsidRDefault="00512032"/>
    <w:p w14:paraId="2110FF36" w14:textId="77777777" w:rsidR="00512032" w:rsidRDefault="00512032"/>
    <w:p w14:paraId="241B73CA" w14:textId="77777777" w:rsidR="00512032" w:rsidRDefault="00512032"/>
    <w:p w14:paraId="4C35D690" w14:textId="77777777" w:rsidR="00512032" w:rsidRDefault="00512032"/>
    <w:p w14:paraId="48752568" w14:textId="77777777" w:rsidR="00512032" w:rsidRDefault="00512032"/>
    <w:p w14:paraId="5128F17A" w14:textId="77777777" w:rsidR="00512032" w:rsidRDefault="00512032"/>
    <w:p w14:paraId="2AC4C856" w14:textId="77777777" w:rsidR="00512032" w:rsidRDefault="00512032"/>
    <w:p w14:paraId="5A465E1D" w14:textId="77777777" w:rsidR="00512032" w:rsidRDefault="00512032"/>
    <w:p w14:paraId="58955454" w14:textId="77777777" w:rsidR="00512032" w:rsidRDefault="00512032"/>
    <w:p w14:paraId="73D0F387" w14:textId="77777777" w:rsidR="00512032" w:rsidRDefault="00512032"/>
    <w:p w14:paraId="321B7A27" w14:textId="77777777" w:rsidR="00512032" w:rsidRDefault="00512032"/>
    <w:p w14:paraId="632A0A99" w14:textId="77777777" w:rsidR="00512032" w:rsidRDefault="00512032" w:rsidP="00512032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5EE58704" w14:textId="77777777" w:rsidR="00512032" w:rsidRPr="00512032" w:rsidRDefault="00512032" w:rsidP="0051203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0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КРАТКИЕ СВЕДЕНИЯ</w:t>
      </w:r>
    </w:p>
    <w:p w14:paraId="7200C717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B">
        <w:rPr>
          <w:rFonts w:ascii="Times New Roman" w:hAnsi="Times New Roman" w:cs="Times New Roman"/>
          <w:sz w:val="24"/>
          <w:szCs w:val="24"/>
        </w:rPr>
        <w:t xml:space="preserve">Тест-набор для проведения ИФА основан на конкурентном иммуноферментном анализе для измерения концентрации широкого спектра антибиотиков группы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>.</w:t>
      </w:r>
    </w:p>
    <w:p w14:paraId="22E2B28C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E85BA1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Фторхинолоны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– это синтетический класс антибиотиков, которые действуют путем ингибирования ДНК-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гиразы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, отменяя ее активность путем вмешательства в реакцию восстановления ДНК. Поскольку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гираза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является важным ферментом в прокариотах, но не встречается в эукариотах, бактерии являются идеальной мишенью для этих антибиотиков.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Фторхинолоны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в основном активны против грамотрицательных бактерий и нашли широкое применение как в клинической практике человека, так и в ветеринарии. Однако применение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у животных, используемых для производства мяса, и их использование в аквакультуре также вызывает обеспокоенность, поскольку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фторхинолоны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способствовали росту устойчивости бактерий к этим антибиотикам у человека, например,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(MRSA, MRSE),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Campylobacter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jejuni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и других. По этой причине необходимы эффективные методы скрининга на наличие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в продуктах животного происхождения, а также в пищевых продуктах.  Компания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разработала универсальный набор ИФА для скрининга на широкий спектр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. В этом наборе ИФА используется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антисыворотка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, выращенная против связанного с белком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, меченный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пероксидазой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хрена. В наборе для ИФА используется стандарт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, поэтому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фторхинолоны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выражаются в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>-эквивалентах.</w:t>
      </w:r>
    </w:p>
    <w:p w14:paraId="0610273A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BD99BD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76B">
        <w:rPr>
          <w:rFonts w:ascii="Times New Roman" w:hAnsi="Times New Roman" w:cs="Times New Roman"/>
          <w:b/>
          <w:bCs/>
          <w:sz w:val="28"/>
          <w:szCs w:val="28"/>
        </w:rPr>
        <w:t>2. ПРИНЦИПЫ ИФА ФТОРХИНОЛОНОВ</w:t>
      </w:r>
    </w:p>
    <w:p w14:paraId="1C80DEEE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B">
        <w:rPr>
          <w:rFonts w:ascii="Times New Roman" w:hAnsi="Times New Roman" w:cs="Times New Roman"/>
          <w:sz w:val="24"/>
          <w:szCs w:val="24"/>
        </w:rPr>
        <w:t xml:space="preserve">Набор для ИФА состоит из одного планшета с предварительным покрытием (12 стрипов, по 8 лунок в каждом). В лунки добавляют антитела, меченные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пероксидазой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хрена (-HRP), стандартный раствор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или образец. Свободные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фторхинолоны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из образцов или стандартов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-HRP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конкурируют за специфические места связывания антител (конкурентный иммуноферментный анализ).  </w:t>
      </w:r>
    </w:p>
    <w:p w14:paraId="16F504EA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B">
        <w:rPr>
          <w:rFonts w:ascii="Times New Roman" w:hAnsi="Times New Roman" w:cs="Times New Roman"/>
          <w:sz w:val="24"/>
          <w:szCs w:val="24"/>
        </w:rPr>
        <w:t xml:space="preserve">После инкубации в течение одного часа несвязанные реагенты удаляются в процессе промывки. Количество связанного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-HRP визуализируется путем добавления раствора субстрата/хромогена (пероксид/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тетраметилбензидин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, TMB). Связанный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-HRP превращает бесцветный хромоген в окрашенный продукт. </w:t>
      </w:r>
    </w:p>
    <w:p w14:paraId="50CA3E2D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B">
        <w:rPr>
          <w:rFonts w:ascii="Times New Roman" w:hAnsi="Times New Roman" w:cs="Times New Roman"/>
          <w:sz w:val="24"/>
          <w:szCs w:val="24"/>
        </w:rPr>
        <w:t xml:space="preserve">Реакция останавливается добавлением серной кислоты. Интенсивность окраски измеряется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фотометрически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при 450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. Оптическая плотность обратно пропорциональна концентрации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в образце.</w:t>
      </w:r>
    </w:p>
    <w:p w14:paraId="79C034E3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B9E1EC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1D0582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76B">
        <w:rPr>
          <w:rFonts w:ascii="Times New Roman" w:hAnsi="Times New Roman" w:cs="Times New Roman"/>
          <w:b/>
          <w:bCs/>
          <w:sz w:val="28"/>
          <w:szCs w:val="28"/>
        </w:rPr>
        <w:t>3. СПЕЦИФИЧНОСТЬ И ЧУВСТВИТЕЛЬНОСТЬ</w:t>
      </w:r>
    </w:p>
    <w:p w14:paraId="76F79694" w14:textId="77777777" w:rsidR="00BB776B" w:rsidRP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B">
        <w:rPr>
          <w:rFonts w:ascii="Times New Roman" w:hAnsi="Times New Roman" w:cs="Times New Roman"/>
          <w:sz w:val="24"/>
          <w:szCs w:val="24"/>
        </w:rPr>
        <w:t xml:space="preserve">Для данного тест-набора ИФА используются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поликлональные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кроличьи антитела, полученные с помощью конъюгированного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86ACD" w14:textId="5C333305" w:rsidR="00512032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B">
        <w:rPr>
          <w:rFonts w:ascii="Times New Roman" w:hAnsi="Times New Roman" w:cs="Times New Roman"/>
          <w:sz w:val="24"/>
          <w:szCs w:val="24"/>
        </w:rPr>
        <w:t>Перекрестная чувствительность:</w:t>
      </w:r>
    </w:p>
    <w:tbl>
      <w:tblPr>
        <w:tblStyle w:val="a9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633"/>
      </w:tblGrid>
      <w:tr w:rsidR="00BB776B" w14:paraId="5151536D" w14:textId="77777777" w:rsidTr="00C02285">
        <w:tc>
          <w:tcPr>
            <w:tcW w:w="3119" w:type="dxa"/>
          </w:tcPr>
          <w:p w14:paraId="7580FDBB" w14:textId="3647D4BA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Энрофлоксацин</w:t>
            </w:r>
            <w:proofErr w:type="spellEnd"/>
          </w:p>
        </w:tc>
        <w:tc>
          <w:tcPr>
            <w:tcW w:w="6633" w:type="dxa"/>
          </w:tcPr>
          <w:p w14:paraId="7092F86D" w14:textId="488BE68B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BB776B" w14:paraId="0BDBAB20" w14:textId="77777777" w:rsidTr="00C02285">
        <w:tc>
          <w:tcPr>
            <w:tcW w:w="3119" w:type="dxa"/>
          </w:tcPr>
          <w:p w14:paraId="37FA50BE" w14:textId="70A66B92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6633" w:type="dxa"/>
          </w:tcPr>
          <w:p w14:paraId="18F86231" w14:textId="13CAD02D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124%</w:t>
            </w:r>
          </w:p>
        </w:tc>
      </w:tr>
      <w:tr w:rsidR="00BB776B" w14:paraId="395C5DCE" w14:textId="77777777" w:rsidTr="00C02285">
        <w:tc>
          <w:tcPr>
            <w:tcW w:w="3119" w:type="dxa"/>
          </w:tcPr>
          <w:p w14:paraId="05409C62" w14:textId="3841C637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Норфлоксацин</w:t>
            </w:r>
            <w:proofErr w:type="spellEnd"/>
          </w:p>
        </w:tc>
        <w:tc>
          <w:tcPr>
            <w:tcW w:w="6633" w:type="dxa"/>
          </w:tcPr>
          <w:p w14:paraId="1ABC0018" w14:textId="0BF6D7BC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B776B" w14:paraId="3CC5683A" w14:textId="77777777" w:rsidTr="00C02285">
        <w:tc>
          <w:tcPr>
            <w:tcW w:w="3119" w:type="dxa"/>
          </w:tcPr>
          <w:p w14:paraId="27876D72" w14:textId="1F1642BD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Надифлоксацин</w:t>
            </w:r>
            <w:proofErr w:type="spellEnd"/>
          </w:p>
        </w:tc>
        <w:tc>
          <w:tcPr>
            <w:tcW w:w="6633" w:type="dxa"/>
          </w:tcPr>
          <w:p w14:paraId="117E7E71" w14:textId="117A08AD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BB776B" w14:paraId="2DC57D81" w14:textId="77777777" w:rsidTr="00C02285">
        <w:tc>
          <w:tcPr>
            <w:tcW w:w="3119" w:type="dxa"/>
          </w:tcPr>
          <w:p w14:paraId="7C3C553B" w14:textId="2E7C8576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Пефлоксацин</w:t>
            </w:r>
            <w:proofErr w:type="spellEnd"/>
          </w:p>
        </w:tc>
        <w:tc>
          <w:tcPr>
            <w:tcW w:w="6633" w:type="dxa"/>
          </w:tcPr>
          <w:p w14:paraId="319EA24F" w14:textId="304CD80E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BB776B" w14:paraId="79243D03" w14:textId="77777777" w:rsidTr="00C02285">
        <w:tc>
          <w:tcPr>
            <w:tcW w:w="3119" w:type="dxa"/>
          </w:tcPr>
          <w:p w14:paraId="0C6C7850" w14:textId="42430AF7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Эноксацин</w:t>
            </w:r>
            <w:proofErr w:type="spellEnd"/>
          </w:p>
        </w:tc>
        <w:tc>
          <w:tcPr>
            <w:tcW w:w="6633" w:type="dxa"/>
          </w:tcPr>
          <w:p w14:paraId="38503C40" w14:textId="680B296F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BB776B" w14:paraId="6E47F4CA" w14:textId="77777777" w:rsidTr="00C02285">
        <w:tc>
          <w:tcPr>
            <w:tcW w:w="3119" w:type="dxa"/>
          </w:tcPr>
          <w:p w14:paraId="7E458D27" w14:textId="1880CC12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Пирамидиновая</w:t>
            </w:r>
            <w:proofErr w:type="spellEnd"/>
          </w:p>
        </w:tc>
        <w:tc>
          <w:tcPr>
            <w:tcW w:w="6633" w:type="dxa"/>
          </w:tcPr>
          <w:p w14:paraId="4D45151E" w14:textId="298414E8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</w:tr>
      <w:tr w:rsidR="00BB776B" w14:paraId="11CB16E9" w14:textId="77777777" w:rsidTr="00C02285">
        <w:tc>
          <w:tcPr>
            <w:tcW w:w="3119" w:type="dxa"/>
          </w:tcPr>
          <w:p w14:paraId="5986E1DE" w14:textId="54C98456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  <w:proofErr w:type="spellEnd"/>
          </w:p>
        </w:tc>
        <w:tc>
          <w:tcPr>
            <w:tcW w:w="6633" w:type="dxa"/>
          </w:tcPr>
          <w:p w14:paraId="2693DE7D" w14:textId="4A1CF3C3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B776B" w14:paraId="4D8B19B9" w14:textId="77777777" w:rsidTr="00C02285">
        <w:tc>
          <w:tcPr>
            <w:tcW w:w="3119" w:type="dxa"/>
          </w:tcPr>
          <w:p w14:paraId="63631626" w14:textId="011F5FD6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  <w:proofErr w:type="spellEnd"/>
          </w:p>
        </w:tc>
        <w:tc>
          <w:tcPr>
            <w:tcW w:w="6633" w:type="dxa"/>
          </w:tcPr>
          <w:p w14:paraId="6B5596E7" w14:textId="123ABDAB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BB776B" w14:paraId="2E2663C2" w14:textId="77777777" w:rsidTr="00C02285">
        <w:tc>
          <w:tcPr>
            <w:tcW w:w="3119" w:type="dxa"/>
          </w:tcPr>
          <w:p w14:paraId="6C66A725" w14:textId="264C7747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Данофлоксацин</w:t>
            </w:r>
            <w:proofErr w:type="spellEnd"/>
          </w:p>
        </w:tc>
        <w:tc>
          <w:tcPr>
            <w:tcW w:w="6633" w:type="dxa"/>
          </w:tcPr>
          <w:p w14:paraId="39272795" w14:textId="626C7642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BB776B" w14:paraId="01C3D5A5" w14:textId="77777777" w:rsidTr="00C02285">
        <w:tc>
          <w:tcPr>
            <w:tcW w:w="3119" w:type="dxa"/>
          </w:tcPr>
          <w:p w14:paraId="11CDE125" w14:textId="4E7C85A8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Флероксацин</w:t>
            </w:r>
            <w:proofErr w:type="spellEnd"/>
          </w:p>
        </w:tc>
        <w:tc>
          <w:tcPr>
            <w:tcW w:w="6633" w:type="dxa"/>
          </w:tcPr>
          <w:p w14:paraId="22430FDA" w14:textId="24C4A4E3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B776B" w14:paraId="6A5F65B5" w14:textId="77777777" w:rsidTr="00C02285">
        <w:tc>
          <w:tcPr>
            <w:tcW w:w="3119" w:type="dxa"/>
          </w:tcPr>
          <w:p w14:paraId="50E7DE4D" w14:textId="14E45DFA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Оксолиновая</w:t>
            </w:r>
            <w:proofErr w:type="spellEnd"/>
            <w:r w:rsidRPr="00BB776B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6633" w:type="dxa"/>
          </w:tcPr>
          <w:p w14:paraId="6A481520" w14:textId="7F2D9A5F" w:rsidR="00BB776B" w:rsidRDefault="00BB776B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6B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BB776B" w14:paraId="607A387A" w14:textId="77777777" w:rsidTr="00C02285">
        <w:tc>
          <w:tcPr>
            <w:tcW w:w="3119" w:type="dxa"/>
          </w:tcPr>
          <w:p w14:paraId="68CDBEF9" w14:textId="408F2588" w:rsidR="00BB776B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Марбофлоксацин</w:t>
            </w:r>
            <w:proofErr w:type="spellEnd"/>
          </w:p>
        </w:tc>
        <w:tc>
          <w:tcPr>
            <w:tcW w:w="6633" w:type="dxa"/>
          </w:tcPr>
          <w:p w14:paraId="382437B7" w14:textId="528AA887" w:rsidR="00BB776B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BB776B" w14:paraId="65019A46" w14:textId="77777777" w:rsidTr="00C02285">
        <w:tc>
          <w:tcPr>
            <w:tcW w:w="3119" w:type="dxa"/>
          </w:tcPr>
          <w:p w14:paraId="4BD587B9" w14:textId="4A318A32" w:rsidR="00BB776B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Пипемидиновая</w:t>
            </w:r>
            <w:proofErr w:type="spellEnd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6633" w:type="dxa"/>
          </w:tcPr>
          <w:p w14:paraId="59C49128" w14:textId="544E9ECB" w:rsidR="00BB776B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B776B" w14:paraId="78DF7706" w14:textId="77777777" w:rsidTr="00C02285">
        <w:tc>
          <w:tcPr>
            <w:tcW w:w="3119" w:type="dxa"/>
          </w:tcPr>
          <w:p w14:paraId="09885B1B" w14:textId="4AC1CE3A" w:rsidR="00BB776B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Сарафлоксацин</w:t>
            </w:r>
            <w:proofErr w:type="spellEnd"/>
          </w:p>
        </w:tc>
        <w:tc>
          <w:tcPr>
            <w:tcW w:w="6633" w:type="dxa"/>
          </w:tcPr>
          <w:p w14:paraId="4F1BCEF5" w14:textId="1FC7E4E9" w:rsidR="00BB776B" w:rsidRP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4%</w:t>
            </w:r>
          </w:p>
        </w:tc>
      </w:tr>
      <w:tr w:rsidR="00BB776B" w14:paraId="6754695B" w14:textId="77777777" w:rsidTr="00C02285">
        <w:tc>
          <w:tcPr>
            <w:tcW w:w="3119" w:type="dxa"/>
          </w:tcPr>
          <w:p w14:paraId="2FE62235" w14:textId="6FF6D83F" w:rsidR="00BB776B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Дифлоксацин</w:t>
            </w:r>
            <w:proofErr w:type="spellEnd"/>
          </w:p>
        </w:tc>
        <w:tc>
          <w:tcPr>
            <w:tcW w:w="6633" w:type="dxa"/>
          </w:tcPr>
          <w:p w14:paraId="2ABB1D01" w14:textId="143C7501" w:rsidR="00BB776B" w:rsidRP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1%</w:t>
            </w:r>
          </w:p>
        </w:tc>
      </w:tr>
      <w:tr w:rsidR="00C02285" w14:paraId="37DA4A9A" w14:textId="77777777" w:rsidTr="00C02285">
        <w:tc>
          <w:tcPr>
            <w:tcW w:w="3119" w:type="dxa"/>
          </w:tcPr>
          <w:p w14:paraId="504916C7" w14:textId="683086C0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6633" w:type="dxa"/>
          </w:tcPr>
          <w:p w14:paraId="1EFBAAF5" w14:textId="3622DE0D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C02285" w14:paraId="7B672383" w14:textId="77777777" w:rsidTr="00C02285">
        <w:tc>
          <w:tcPr>
            <w:tcW w:w="3119" w:type="dxa"/>
          </w:tcPr>
          <w:p w14:paraId="4C6CC85E" w14:textId="00B60C78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Гатифлоксацин</w:t>
            </w:r>
            <w:proofErr w:type="spellEnd"/>
          </w:p>
        </w:tc>
        <w:tc>
          <w:tcPr>
            <w:tcW w:w="6633" w:type="dxa"/>
          </w:tcPr>
          <w:p w14:paraId="044F9080" w14:textId="7CC5325D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02285" w14:paraId="4AC4EE38" w14:textId="77777777" w:rsidTr="00C02285">
        <w:tc>
          <w:tcPr>
            <w:tcW w:w="3119" w:type="dxa"/>
          </w:tcPr>
          <w:p w14:paraId="3ECA4E74" w14:textId="3F051D98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Флумеквин</w:t>
            </w:r>
            <w:proofErr w:type="spellEnd"/>
          </w:p>
        </w:tc>
        <w:tc>
          <w:tcPr>
            <w:tcW w:w="6633" w:type="dxa"/>
          </w:tcPr>
          <w:p w14:paraId="72308756" w14:textId="0061D8E1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C02285" w14:paraId="7C60035D" w14:textId="77777777" w:rsidTr="00C02285">
        <w:tc>
          <w:tcPr>
            <w:tcW w:w="3119" w:type="dxa"/>
          </w:tcPr>
          <w:p w14:paraId="7FF3BD78" w14:textId="52F8E1B6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Пазуфлоксацин</w:t>
            </w:r>
            <w:proofErr w:type="spellEnd"/>
          </w:p>
        </w:tc>
        <w:tc>
          <w:tcPr>
            <w:tcW w:w="6633" w:type="dxa"/>
          </w:tcPr>
          <w:p w14:paraId="44B8B0B6" w14:textId="1BDB018C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1%</w:t>
            </w:r>
          </w:p>
        </w:tc>
      </w:tr>
      <w:tr w:rsidR="00C02285" w14:paraId="49651110" w14:textId="77777777" w:rsidTr="00C02285">
        <w:tc>
          <w:tcPr>
            <w:tcW w:w="3119" w:type="dxa"/>
          </w:tcPr>
          <w:p w14:paraId="0A6E1168" w14:textId="114BFA8F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Циноксацин</w:t>
            </w:r>
            <w:proofErr w:type="spellEnd"/>
          </w:p>
        </w:tc>
        <w:tc>
          <w:tcPr>
            <w:tcW w:w="6633" w:type="dxa"/>
          </w:tcPr>
          <w:p w14:paraId="3B9E77C2" w14:textId="31227B9A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,1%</w:t>
            </w:r>
          </w:p>
        </w:tc>
      </w:tr>
      <w:tr w:rsidR="00C02285" w14:paraId="2C183BF6" w14:textId="77777777" w:rsidTr="00C02285">
        <w:tc>
          <w:tcPr>
            <w:tcW w:w="3119" w:type="dxa"/>
          </w:tcPr>
          <w:p w14:paraId="454C6682" w14:textId="1F400162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Тосуфлоксацин</w:t>
            </w:r>
            <w:proofErr w:type="spellEnd"/>
          </w:p>
        </w:tc>
        <w:tc>
          <w:tcPr>
            <w:tcW w:w="6633" w:type="dxa"/>
          </w:tcPr>
          <w:p w14:paraId="1F055EF2" w14:textId="15F9019B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,1%</w:t>
            </w:r>
          </w:p>
        </w:tc>
      </w:tr>
      <w:tr w:rsidR="00C02285" w14:paraId="662454F2" w14:textId="77777777" w:rsidTr="00C02285">
        <w:tc>
          <w:tcPr>
            <w:tcW w:w="3119" w:type="dxa"/>
          </w:tcPr>
          <w:p w14:paraId="74A49E5B" w14:textId="36CDD0F6" w:rsidR="00C02285" w:rsidRP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Наликсиновая</w:t>
            </w:r>
            <w:proofErr w:type="spellEnd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6633" w:type="dxa"/>
          </w:tcPr>
          <w:p w14:paraId="6A5BFDCB" w14:textId="0CBF555A" w:rsidR="00C02285" w:rsidRDefault="00C02285" w:rsidP="00BB7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C02285">
              <w:rPr>
                <w:rFonts w:ascii="Times New Roman" w:hAnsi="Times New Roman" w:cs="Times New Roman"/>
                <w:sz w:val="24"/>
                <w:szCs w:val="24"/>
              </w:rPr>
              <w:t>,1%</w:t>
            </w:r>
          </w:p>
        </w:tc>
      </w:tr>
    </w:tbl>
    <w:p w14:paraId="7FD2C5FF" w14:textId="5402BB53" w:rsidR="00BB776B" w:rsidRDefault="00BB776B" w:rsidP="00BB776B">
      <w:pPr>
        <w:spacing w:after="0"/>
        <w:ind w:firstLine="720"/>
        <w:jc w:val="both"/>
        <w:rPr>
          <w:szCs w:val="28"/>
        </w:rPr>
      </w:pPr>
    </w:p>
    <w:p w14:paraId="07D94A61" w14:textId="63C9DAE8" w:rsidR="00BB776B" w:rsidRDefault="00BB776B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76B">
        <w:rPr>
          <w:rFonts w:ascii="Times New Roman" w:hAnsi="Times New Roman" w:cs="Times New Roman"/>
          <w:sz w:val="24"/>
          <w:szCs w:val="24"/>
        </w:rPr>
        <w:t xml:space="preserve">Предел обнаружения (LOD) рассчитывается по формуле: </w:t>
      </w:r>
      <w:proofErr w:type="spellStart"/>
      <w:r w:rsidRPr="00BB776B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BB776B">
        <w:rPr>
          <w:rFonts w:ascii="Times New Roman" w:hAnsi="Times New Roman" w:cs="Times New Roman"/>
          <w:sz w:val="24"/>
          <w:szCs w:val="24"/>
        </w:rPr>
        <w:t xml:space="preserve"> + 3SD и определяется при оптимальных условиях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268"/>
      </w:tblGrid>
      <w:tr w:rsidR="008533CC" w:rsidRPr="008533CC" w14:paraId="50A8E88B" w14:textId="77777777" w:rsidTr="008533CC">
        <w:tc>
          <w:tcPr>
            <w:tcW w:w="3681" w:type="dxa"/>
            <w:shd w:val="clear" w:color="auto" w:fill="auto"/>
          </w:tcPr>
          <w:p w14:paraId="18DC28D8" w14:textId="77777777" w:rsid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Матрица</w:t>
            </w:r>
          </w:p>
          <w:p w14:paraId="17A5F18A" w14:textId="25D288F0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4300935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Способ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пробоподготовки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1DE1A6F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8533CC">
              <w:rPr>
                <w:rFonts w:ascii="Times New Roman" w:hAnsi="Times New Roman" w:cs="Times New Roman"/>
                <w:szCs w:val="28"/>
                <w:lang w:val="en-US"/>
              </w:rPr>
              <w:t>LOD</w:t>
            </w:r>
          </w:p>
        </w:tc>
      </w:tr>
      <w:tr w:rsidR="008533CC" w:rsidRPr="008533CC" w14:paraId="4B384C0E" w14:textId="77777777" w:rsidTr="008533CC">
        <w:tc>
          <w:tcPr>
            <w:tcW w:w="3681" w:type="dxa"/>
            <w:shd w:val="clear" w:color="auto" w:fill="auto"/>
          </w:tcPr>
          <w:p w14:paraId="7AEDFCA0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bookmarkStart w:id="0" w:name="_Hlk203742707"/>
            <w:r w:rsidRPr="008533CC">
              <w:rPr>
                <w:rFonts w:ascii="Times New Roman" w:hAnsi="Times New Roman" w:cs="Times New Roman"/>
                <w:szCs w:val="28"/>
              </w:rPr>
              <w:t>Ткани</w:t>
            </w:r>
          </w:p>
        </w:tc>
        <w:tc>
          <w:tcPr>
            <w:tcW w:w="4536" w:type="dxa"/>
            <w:shd w:val="clear" w:color="auto" w:fill="auto"/>
          </w:tcPr>
          <w:p w14:paraId="1701880E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8.1.1</w:t>
            </w:r>
          </w:p>
        </w:tc>
        <w:tc>
          <w:tcPr>
            <w:tcW w:w="2268" w:type="dxa"/>
            <w:shd w:val="clear" w:color="auto" w:fill="auto"/>
          </w:tcPr>
          <w:p w14:paraId="30CD335D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12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/г</w:t>
            </w:r>
          </w:p>
        </w:tc>
      </w:tr>
      <w:tr w:rsidR="008533CC" w:rsidRPr="008533CC" w14:paraId="016B2FE5" w14:textId="77777777" w:rsidTr="008533CC">
        <w:tc>
          <w:tcPr>
            <w:tcW w:w="3681" w:type="dxa"/>
            <w:shd w:val="clear" w:color="auto" w:fill="auto"/>
          </w:tcPr>
          <w:p w14:paraId="49CA83AF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Ткани</w:t>
            </w:r>
          </w:p>
        </w:tc>
        <w:tc>
          <w:tcPr>
            <w:tcW w:w="4536" w:type="dxa"/>
            <w:shd w:val="clear" w:color="auto" w:fill="auto"/>
          </w:tcPr>
          <w:p w14:paraId="792ABF2A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8.1.2</w:t>
            </w:r>
          </w:p>
        </w:tc>
        <w:tc>
          <w:tcPr>
            <w:tcW w:w="2268" w:type="dxa"/>
            <w:shd w:val="clear" w:color="auto" w:fill="auto"/>
          </w:tcPr>
          <w:p w14:paraId="77F4B25A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0,3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/г</w:t>
            </w:r>
          </w:p>
        </w:tc>
      </w:tr>
      <w:tr w:rsidR="008533CC" w:rsidRPr="008533CC" w14:paraId="65A01B23" w14:textId="77777777" w:rsidTr="008533CC">
        <w:tc>
          <w:tcPr>
            <w:tcW w:w="3681" w:type="dxa"/>
            <w:shd w:val="clear" w:color="auto" w:fill="auto"/>
          </w:tcPr>
          <w:p w14:paraId="081907C9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Яйца</w:t>
            </w:r>
          </w:p>
        </w:tc>
        <w:tc>
          <w:tcPr>
            <w:tcW w:w="4536" w:type="dxa"/>
            <w:shd w:val="clear" w:color="auto" w:fill="auto"/>
          </w:tcPr>
          <w:p w14:paraId="434C6836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8.2</w:t>
            </w:r>
          </w:p>
        </w:tc>
        <w:tc>
          <w:tcPr>
            <w:tcW w:w="2268" w:type="dxa"/>
            <w:shd w:val="clear" w:color="auto" w:fill="auto"/>
          </w:tcPr>
          <w:p w14:paraId="6546BBD1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6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/г</w:t>
            </w:r>
          </w:p>
        </w:tc>
      </w:tr>
      <w:tr w:rsidR="008533CC" w:rsidRPr="008533CC" w14:paraId="3E73398F" w14:textId="77777777" w:rsidTr="008533CC">
        <w:tc>
          <w:tcPr>
            <w:tcW w:w="3681" w:type="dxa"/>
            <w:shd w:val="clear" w:color="auto" w:fill="auto"/>
          </w:tcPr>
          <w:p w14:paraId="4A3E023A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Ткани и яйца</w:t>
            </w:r>
          </w:p>
        </w:tc>
        <w:tc>
          <w:tcPr>
            <w:tcW w:w="4536" w:type="dxa"/>
            <w:shd w:val="clear" w:color="auto" w:fill="auto"/>
          </w:tcPr>
          <w:p w14:paraId="47E85638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8.3</w:t>
            </w:r>
          </w:p>
        </w:tc>
        <w:tc>
          <w:tcPr>
            <w:tcW w:w="2268" w:type="dxa"/>
            <w:shd w:val="clear" w:color="auto" w:fill="auto"/>
          </w:tcPr>
          <w:p w14:paraId="37407271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0,5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/г</w:t>
            </w:r>
          </w:p>
        </w:tc>
      </w:tr>
      <w:tr w:rsidR="008533CC" w:rsidRPr="008533CC" w14:paraId="724576AD" w14:textId="77777777" w:rsidTr="008533CC">
        <w:tc>
          <w:tcPr>
            <w:tcW w:w="3681" w:type="dxa"/>
            <w:shd w:val="clear" w:color="auto" w:fill="auto"/>
          </w:tcPr>
          <w:p w14:paraId="6573FAFD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Молоко</w:t>
            </w:r>
          </w:p>
        </w:tc>
        <w:tc>
          <w:tcPr>
            <w:tcW w:w="4536" w:type="dxa"/>
            <w:shd w:val="clear" w:color="auto" w:fill="auto"/>
          </w:tcPr>
          <w:p w14:paraId="2D70A629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8.4</w:t>
            </w:r>
          </w:p>
        </w:tc>
        <w:tc>
          <w:tcPr>
            <w:tcW w:w="2268" w:type="dxa"/>
            <w:shd w:val="clear" w:color="auto" w:fill="auto"/>
          </w:tcPr>
          <w:p w14:paraId="55A33C19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/мл</w:t>
            </w:r>
          </w:p>
        </w:tc>
      </w:tr>
      <w:tr w:rsidR="008533CC" w:rsidRPr="008533CC" w14:paraId="1B475396" w14:textId="77777777" w:rsidTr="008533CC">
        <w:tc>
          <w:tcPr>
            <w:tcW w:w="3681" w:type="dxa"/>
            <w:shd w:val="clear" w:color="auto" w:fill="auto"/>
          </w:tcPr>
          <w:p w14:paraId="6DE6C4C1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Вода</w:t>
            </w:r>
          </w:p>
        </w:tc>
        <w:tc>
          <w:tcPr>
            <w:tcW w:w="4536" w:type="dxa"/>
            <w:shd w:val="clear" w:color="auto" w:fill="auto"/>
          </w:tcPr>
          <w:p w14:paraId="49170E55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8.5</w:t>
            </w:r>
          </w:p>
        </w:tc>
        <w:tc>
          <w:tcPr>
            <w:tcW w:w="2268" w:type="dxa"/>
            <w:shd w:val="clear" w:color="auto" w:fill="auto"/>
          </w:tcPr>
          <w:p w14:paraId="148DB437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/мл</w:t>
            </w:r>
          </w:p>
        </w:tc>
      </w:tr>
      <w:tr w:rsidR="008533CC" w:rsidRPr="008533CC" w14:paraId="545E1DFE" w14:textId="77777777" w:rsidTr="008533CC">
        <w:tc>
          <w:tcPr>
            <w:tcW w:w="3681" w:type="dxa"/>
            <w:shd w:val="clear" w:color="auto" w:fill="auto"/>
          </w:tcPr>
          <w:p w14:paraId="1A5E5E69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Мед</w:t>
            </w:r>
          </w:p>
        </w:tc>
        <w:tc>
          <w:tcPr>
            <w:tcW w:w="4536" w:type="dxa"/>
            <w:shd w:val="clear" w:color="auto" w:fill="auto"/>
          </w:tcPr>
          <w:p w14:paraId="3158AF79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8.6</w:t>
            </w:r>
          </w:p>
        </w:tc>
        <w:tc>
          <w:tcPr>
            <w:tcW w:w="2268" w:type="dxa"/>
            <w:shd w:val="clear" w:color="auto" w:fill="auto"/>
          </w:tcPr>
          <w:p w14:paraId="325079D1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/г</w:t>
            </w:r>
          </w:p>
        </w:tc>
      </w:tr>
      <w:tr w:rsidR="008533CC" w:rsidRPr="008533CC" w14:paraId="459CCA10" w14:textId="77777777" w:rsidTr="008533CC">
        <w:tc>
          <w:tcPr>
            <w:tcW w:w="3681" w:type="dxa"/>
            <w:shd w:val="clear" w:color="auto" w:fill="auto"/>
          </w:tcPr>
          <w:p w14:paraId="39B175A9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Сыворотка/плазма</w:t>
            </w:r>
          </w:p>
        </w:tc>
        <w:tc>
          <w:tcPr>
            <w:tcW w:w="4536" w:type="dxa"/>
            <w:shd w:val="clear" w:color="auto" w:fill="auto"/>
          </w:tcPr>
          <w:p w14:paraId="67FBACCF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8.7</w:t>
            </w:r>
          </w:p>
        </w:tc>
        <w:tc>
          <w:tcPr>
            <w:tcW w:w="2268" w:type="dxa"/>
            <w:shd w:val="clear" w:color="auto" w:fill="auto"/>
          </w:tcPr>
          <w:p w14:paraId="3D2167ED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2,5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/мл</w:t>
            </w:r>
          </w:p>
        </w:tc>
      </w:tr>
      <w:tr w:rsidR="008533CC" w:rsidRPr="008533CC" w14:paraId="0399892D" w14:textId="77777777" w:rsidTr="008533CC">
        <w:tc>
          <w:tcPr>
            <w:tcW w:w="3681" w:type="dxa"/>
            <w:shd w:val="clear" w:color="auto" w:fill="auto"/>
          </w:tcPr>
          <w:p w14:paraId="2B008EEC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Моча</w:t>
            </w:r>
          </w:p>
        </w:tc>
        <w:tc>
          <w:tcPr>
            <w:tcW w:w="4536" w:type="dxa"/>
            <w:shd w:val="clear" w:color="auto" w:fill="auto"/>
          </w:tcPr>
          <w:p w14:paraId="4F77B5AC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>8.8</w:t>
            </w:r>
          </w:p>
        </w:tc>
        <w:tc>
          <w:tcPr>
            <w:tcW w:w="2268" w:type="dxa"/>
            <w:shd w:val="clear" w:color="auto" w:fill="auto"/>
          </w:tcPr>
          <w:p w14:paraId="3E815B54" w14:textId="77777777" w:rsidR="008533CC" w:rsidRPr="008533CC" w:rsidRDefault="008533CC" w:rsidP="008533C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533CC">
              <w:rPr>
                <w:rFonts w:ascii="Times New Roman" w:hAnsi="Times New Roman" w:cs="Times New Roman"/>
                <w:szCs w:val="28"/>
              </w:rPr>
              <w:t xml:space="preserve">7 </w:t>
            </w:r>
            <w:proofErr w:type="spellStart"/>
            <w:r w:rsidRPr="008533CC">
              <w:rPr>
                <w:rFonts w:ascii="Times New Roman" w:hAnsi="Times New Roman" w:cs="Times New Roman"/>
                <w:szCs w:val="28"/>
              </w:rPr>
              <w:t>нг</w:t>
            </w:r>
            <w:proofErr w:type="spellEnd"/>
            <w:r w:rsidRPr="008533CC">
              <w:rPr>
                <w:rFonts w:ascii="Times New Roman" w:hAnsi="Times New Roman" w:cs="Times New Roman"/>
                <w:szCs w:val="28"/>
              </w:rPr>
              <w:t>/мл</w:t>
            </w:r>
          </w:p>
        </w:tc>
      </w:tr>
      <w:bookmarkEnd w:id="0"/>
    </w:tbl>
    <w:p w14:paraId="51DFDFEE" w14:textId="77777777" w:rsidR="00C02285" w:rsidRDefault="00C02285" w:rsidP="00BB77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817099" w14:textId="77777777" w:rsidR="00C02285" w:rsidRPr="008533CC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3CC">
        <w:rPr>
          <w:rFonts w:ascii="Times New Roman" w:hAnsi="Times New Roman" w:cs="Times New Roman"/>
          <w:b/>
          <w:bCs/>
          <w:sz w:val="28"/>
          <w:szCs w:val="28"/>
        </w:rPr>
        <w:t>4. УСЛОВИЯ ОБРАЩЕНИЯ И ХРАНЕНИЕ</w:t>
      </w:r>
    </w:p>
    <w:p w14:paraId="1C11C8C9" w14:textId="2B5F18BF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>Набор реагентов должен храниться в холодильнике (при температуре от +2 °С до +8 °С) перед использованием и помещаться в холодильник сразу после применения.</w:t>
      </w:r>
    </w:p>
    <w:p w14:paraId="7150849C" w14:textId="76B570EB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>После истечения срока годности невозможно гарантировать приемлемое качество.</w:t>
      </w:r>
    </w:p>
    <w:p w14:paraId="38FC3A5A" w14:textId="50F24F7D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 xml:space="preserve">Перед проведением анализа все компоненты тест-набора, включая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микротитровальный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планшет, должны быть доведены до комнатной температуры.</w:t>
      </w:r>
    </w:p>
    <w:p w14:paraId="3F5754E7" w14:textId="383DF707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>Следует избегать появления конденсата в лунках планшета. Планшет должен быть согрет до температуры окружающей среды перед вскрытием упаковки.</w:t>
      </w:r>
    </w:p>
    <w:p w14:paraId="14610354" w14:textId="2E0DFF6B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 xml:space="preserve">После восстановления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лиофилизированного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ферментно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маркированного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лиофилизированных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антител, эти восстановленные соединения могут храниться в холодильнике (от + 2 °С до + 8 °С) не менее шести месяцев. После восстановления компонентов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и антитела, их растворы можно разлить по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аликвотам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285" w:rsidRPr="00C02285">
        <w:rPr>
          <w:rFonts w:ascii="Times New Roman" w:hAnsi="Times New Roman" w:cs="Times New Roman"/>
          <w:sz w:val="24"/>
          <w:szCs w:val="24"/>
        </w:rPr>
        <w:t>и  хранить</w:t>
      </w:r>
      <w:proofErr w:type="gram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в морозильной камере (-20 °С) до истечения срока годности набора.</w:t>
      </w:r>
    </w:p>
    <w:p w14:paraId="68C96616" w14:textId="621E6FE5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>Раствор субстрата и хромогена можно хранить в холодильнике (от + 2 °С до + 8 °С) до истечения срока годности, указанного на этикетке.</w:t>
      </w:r>
    </w:p>
    <w:p w14:paraId="115E3927" w14:textId="45CE6823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>Необходимо избегать любого прямого воздействия света на раствор хромогена.</w:t>
      </w:r>
    </w:p>
    <w:p w14:paraId="66C35ADE" w14:textId="77777777" w:rsidR="00C02285" w:rsidRPr="00C02285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81DE59" w14:textId="77777777" w:rsidR="00C02285" w:rsidRPr="00C02285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285">
        <w:rPr>
          <w:rFonts w:ascii="Times New Roman" w:hAnsi="Times New Roman" w:cs="Times New Roman"/>
          <w:sz w:val="24"/>
          <w:szCs w:val="24"/>
        </w:rPr>
        <w:t>Следующие показатели могут являться признаком порчи реагентов:</w:t>
      </w:r>
    </w:p>
    <w:p w14:paraId="643BE528" w14:textId="57905DB5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>Голубая окраска раствора хромогена перед внесением в лунки</w:t>
      </w:r>
    </w:p>
    <w:p w14:paraId="68D30DDD" w14:textId="62A6E98B" w:rsidR="00C02285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02285" w:rsidRPr="00C02285">
        <w:rPr>
          <w:rFonts w:ascii="Times New Roman" w:hAnsi="Times New Roman" w:cs="Times New Roman"/>
          <w:sz w:val="24"/>
          <w:szCs w:val="24"/>
        </w:rPr>
        <w:t xml:space="preserve">Слабая либо отсутствующая реакция окрашивания нулевого </w:t>
      </w:r>
      <w:proofErr w:type="spellStart"/>
      <w:r w:rsidR="00C02285" w:rsidRPr="00C02285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="00C02285" w:rsidRPr="00C02285">
        <w:rPr>
          <w:rFonts w:ascii="Times New Roman" w:hAnsi="Times New Roman" w:cs="Times New Roman"/>
          <w:sz w:val="24"/>
          <w:szCs w:val="24"/>
        </w:rPr>
        <w:t xml:space="preserve"> раствора (Е450нм </w:t>
      </w:r>
      <w:proofErr w:type="gramStart"/>
      <w:r w:rsidRPr="008533CC">
        <w:rPr>
          <w:rFonts w:ascii="Times New Roman" w:hAnsi="Times New Roman" w:cs="Times New Roman"/>
          <w:sz w:val="24"/>
          <w:szCs w:val="24"/>
          <w:lang w:val="ru-RU"/>
        </w:rPr>
        <w:t xml:space="preserve">&lt; </w:t>
      </w:r>
      <w:r w:rsidR="00C02285" w:rsidRPr="00C02285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C02285" w:rsidRPr="00C02285">
        <w:rPr>
          <w:rFonts w:ascii="Times New Roman" w:hAnsi="Times New Roman" w:cs="Times New Roman"/>
          <w:sz w:val="24"/>
          <w:szCs w:val="24"/>
        </w:rPr>
        <w:t>,8)</w:t>
      </w:r>
    </w:p>
    <w:p w14:paraId="03C7CB6E" w14:textId="385A726E" w:rsidR="00C02285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E4C63F" w14:textId="63962205" w:rsidR="008533CC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A4106F" w14:textId="77777777" w:rsidR="008533CC" w:rsidRPr="00C02285" w:rsidRDefault="008533CC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D3DCE8" w14:textId="77777777" w:rsidR="00C02285" w:rsidRPr="00C02285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CE6E9F" w14:textId="77777777" w:rsidR="00C02285" w:rsidRPr="00804406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КОМПОНЕНТЫ НАБОРА</w:t>
      </w:r>
    </w:p>
    <w:p w14:paraId="59271457" w14:textId="77777777" w:rsidR="00C02285" w:rsidRPr="00C02285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285">
        <w:rPr>
          <w:rFonts w:ascii="Times New Roman" w:hAnsi="Times New Roman" w:cs="Times New Roman"/>
          <w:sz w:val="24"/>
          <w:szCs w:val="24"/>
        </w:rPr>
        <w:t>Инструкция</w:t>
      </w:r>
    </w:p>
    <w:p w14:paraId="11568A54" w14:textId="77777777" w:rsidR="00C02285" w:rsidRPr="00C02285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285">
        <w:rPr>
          <w:rFonts w:ascii="Times New Roman" w:hAnsi="Times New Roman" w:cs="Times New Roman"/>
          <w:sz w:val="24"/>
          <w:szCs w:val="24"/>
        </w:rPr>
        <w:t xml:space="preserve">Один запечатанный </w:t>
      </w:r>
      <w:proofErr w:type="spellStart"/>
      <w:r w:rsidRPr="00C02285">
        <w:rPr>
          <w:rFonts w:ascii="Times New Roman" w:hAnsi="Times New Roman" w:cs="Times New Roman"/>
          <w:sz w:val="24"/>
          <w:szCs w:val="24"/>
        </w:rPr>
        <w:t>микротитровальный</w:t>
      </w:r>
      <w:proofErr w:type="spellEnd"/>
      <w:r w:rsidRPr="00C02285">
        <w:rPr>
          <w:rFonts w:ascii="Times New Roman" w:hAnsi="Times New Roman" w:cs="Times New Roman"/>
          <w:sz w:val="24"/>
          <w:szCs w:val="24"/>
        </w:rPr>
        <w:t xml:space="preserve"> планшет (12 стрипов по 8 лунок), сенсибилизированный антителами. Планшет готов к использованию.</w:t>
      </w:r>
    </w:p>
    <w:p w14:paraId="2E2BDCFE" w14:textId="5B80CAFD" w:rsidR="00C02285" w:rsidRDefault="00C02285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285">
        <w:rPr>
          <w:rFonts w:ascii="Times New Roman" w:hAnsi="Times New Roman" w:cs="Times New Roman"/>
          <w:sz w:val="24"/>
          <w:szCs w:val="24"/>
        </w:rPr>
        <w:t>Позиции реагентов в наборе. Для приготовления реагентов смотрите раздел 9.</w:t>
      </w:r>
    </w:p>
    <w:p w14:paraId="76F82B11" w14:textId="5A650561" w:rsidR="00804406" w:rsidRDefault="00804406" w:rsidP="00C02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F1169F" wp14:editId="5281D8BF">
            <wp:extent cx="4604527" cy="345757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91" cy="345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47BA" w14:textId="7000C5D8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b/>
          <w:bCs/>
          <w:sz w:val="24"/>
          <w:szCs w:val="24"/>
        </w:rPr>
        <w:t>Буфер для разведения</w:t>
      </w:r>
      <w:r w:rsidRPr="00804406">
        <w:rPr>
          <w:rFonts w:ascii="Times New Roman" w:hAnsi="Times New Roman" w:cs="Times New Roman"/>
          <w:sz w:val="24"/>
          <w:szCs w:val="24"/>
        </w:rPr>
        <w:t xml:space="preserve"> (20 мл, готов для применения)</w:t>
      </w:r>
    </w:p>
    <w:p w14:paraId="62B5B0FD" w14:textId="32317BC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2.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b/>
          <w:bCs/>
          <w:sz w:val="24"/>
          <w:szCs w:val="24"/>
        </w:rPr>
        <w:t>Буфер для промывки планшета</w:t>
      </w:r>
      <w:r w:rsidRPr="00804406">
        <w:rPr>
          <w:rFonts w:ascii="Times New Roman" w:hAnsi="Times New Roman" w:cs="Times New Roman"/>
          <w:sz w:val="24"/>
          <w:szCs w:val="24"/>
        </w:rPr>
        <w:t xml:space="preserve"> (30 мл, концентрации 20х)</w:t>
      </w:r>
    </w:p>
    <w:p w14:paraId="6F53D504" w14:textId="0FCC99E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3.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" w:name="_GoBack"/>
      <w:r w:rsidRPr="00804406">
        <w:rPr>
          <w:rFonts w:ascii="Times New Roman" w:hAnsi="Times New Roman" w:cs="Times New Roman"/>
          <w:b/>
          <w:bCs/>
          <w:sz w:val="24"/>
          <w:szCs w:val="24"/>
        </w:rPr>
        <w:t>Раствор субстрата</w:t>
      </w:r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04406">
        <w:rPr>
          <w:rFonts w:ascii="Times New Roman" w:hAnsi="Times New Roman" w:cs="Times New Roman"/>
          <w:sz w:val="24"/>
          <w:szCs w:val="24"/>
        </w:rPr>
        <w:t>(12 мл, готов для применения)</w:t>
      </w:r>
    </w:p>
    <w:p w14:paraId="7E1FE4FF" w14:textId="196D8A9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4.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b/>
          <w:bCs/>
          <w:sz w:val="24"/>
          <w:szCs w:val="24"/>
        </w:rPr>
        <w:t>Стоп-реагент</w:t>
      </w:r>
      <w:r w:rsidRPr="00804406">
        <w:rPr>
          <w:rFonts w:ascii="Times New Roman" w:hAnsi="Times New Roman" w:cs="Times New Roman"/>
          <w:sz w:val="24"/>
          <w:szCs w:val="24"/>
        </w:rPr>
        <w:t xml:space="preserve"> (15 мл, готов для применения)</w:t>
      </w:r>
    </w:p>
    <w:p w14:paraId="28A1163B" w14:textId="7DD2348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5.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Конъюгат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лиофилизат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, голубая крышка)</w:t>
      </w:r>
    </w:p>
    <w:p w14:paraId="46DE9832" w14:textId="1A0F328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6.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b/>
          <w:bCs/>
          <w:sz w:val="24"/>
          <w:szCs w:val="24"/>
        </w:rPr>
        <w:t>Антитела</w:t>
      </w:r>
      <w:r w:rsidRPr="008044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лиофилизат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, красная крышка)</w:t>
      </w:r>
    </w:p>
    <w:p w14:paraId="648189EF" w14:textId="20292B9C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7.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не используется</w:t>
      </w:r>
    </w:p>
    <w:p w14:paraId="58957282" w14:textId="0CC7440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Спайк-раствор с концентрацией 100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>/мл</w:t>
      </w:r>
      <w:r w:rsidRPr="00804406">
        <w:rPr>
          <w:rFonts w:ascii="Times New Roman" w:hAnsi="Times New Roman" w:cs="Times New Roman"/>
          <w:sz w:val="24"/>
          <w:szCs w:val="24"/>
        </w:rPr>
        <w:t xml:space="preserve"> (1 мл, готов для применения)</w:t>
      </w:r>
    </w:p>
    <w:p w14:paraId="7856D983" w14:textId="47C2157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9.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не используется</w:t>
      </w:r>
    </w:p>
    <w:p w14:paraId="36E37332" w14:textId="18764E1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10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04406">
        <w:rPr>
          <w:rFonts w:ascii="Times New Roman" w:hAnsi="Times New Roman" w:cs="Times New Roman"/>
          <w:sz w:val="24"/>
          <w:szCs w:val="24"/>
        </w:rPr>
        <w:t>не используется</w:t>
      </w:r>
    </w:p>
    <w:p w14:paraId="4EC721B3" w14:textId="0548F59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11.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не используется</w:t>
      </w:r>
    </w:p>
    <w:p w14:paraId="4864B661" w14:textId="13C454F0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12.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не используется</w:t>
      </w:r>
    </w:p>
    <w:p w14:paraId="5AB585B9" w14:textId="581A62D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13.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Нулевой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 раствор</w:t>
      </w:r>
      <w:r w:rsidRPr="00804406">
        <w:rPr>
          <w:rFonts w:ascii="Times New Roman" w:hAnsi="Times New Roman" w:cs="Times New Roman"/>
          <w:sz w:val="24"/>
          <w:szCs w:val="24"/>
        </w:rPr>
        <w:t xml:space="preserve"> (2 мл, готов для применения)</w:t>
      </w:r>
    </w:p>
    <w:p w14:paraId="00D7E5EC" w14:textId="02636291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14.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 раствор 1</w:t>
      </w:r>
      <w:r w:rsidRPr="00804406">
        <w:rPr>
          <w:rFonts w:ascii="Times New Roman" w:hAnsi="Times New Roman" w:cs="Times New Roman"/>
          <w:sz w:val="24"/>
          <w:szCs w:val="24"/>
        </w:rPr>
        <w:t xml:space="preserve"> (1 мл, готов для применения) 0,157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/мл</w:t>
      </w:r>
    </w:p>
    <w:p w14:paraId="759C4ECC" w14:textId="6D9E709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15.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 раствор 2</w:t>
      </w:r>
      <w:r w:rsidRPr="00804406">
        <w:rPr>
          <w:rFonts w:ascii="Times New Roman" w:hAnsi="Times New Roman" w:cs="Times New Roman"/>
          <w:sz w:val="24"/>
          <w:szCs w:val="24"/>
        </w:rPr>
        <w:t xml:space="preserve"> (1 мл, готов для применения) 0,313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/мл</w:t>
      </w:r>
    </w:p>
    <w:p w14:paraId="0887CD91" w14:textId="5411ED8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16.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 раствор 3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(1 мл, готов для применения) 0,625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/мл</w:t>
      </w:r>
    </w:p>
    <w:p w14:paraId="5CE5F071" w14:textId="71F8D34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17.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 раствор 4</w:t>
      </w:r>
      <w:r w:rsidRPr="00804406">
        <w:rPr>
          <w:rFonts w:ascii="Times New Roman" w:hAnsi="Times New Roman" w:cs="Times New Roman"/>
          <w:sz w:val="24"/>
          <w:szCs w:val="24"/>
        </w:rPr>
        <w:t xml:space="preserve"> (1 мл, готов для применения) 1,25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/мл</w:t>
      </w:r>
    </w:p>
    <w:p w14:paraId="7C4604CD" w14:textId="0E0F593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18.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 раствор 5</w:t>
      </w:r>
      <w:r w:rsidRPr="00804406">
        <w:rPr>
          <w:rFonts w:ascii="Times New Roman" w:hAnsi="Times New Roman" w:cs="Times New Roman"/>
          <w:sz w:val="24"/>
          <w:szCs w:val="24"/>
        </w:rPr>
        <w:t xml:space="preserve"> (1 мл, готов для применения) 2,5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/мл</w:t>
      </w:r>
    </w:p>
    <w:p w14:paraId="25331FF0" w14:textId="4258CAF1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19.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b/>
          <w:bCs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b/>
          <w:bCs/>
          <w:sz w:val="24"/>
          <w:szCs w:val="24"/>
        </w:rPr>
        <w:t xml:space="preserve"> раствор 6</w:t>
      </w:r>
      <w:r w:rsidRPr="00804406">
        <w:rPr>
          <w:rFonts w:ascii="Times New Roman" w:hAnsi="Times New Roman" w:cs="Times New Roman"/>
          <w:sz w:val="24"/>
          <w:szCs w:val="24"/>
        </w:rPr>
        <w:t xml:space="preserve"> (1 мл, готов для применения) 5,0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/мл</w:t>
      </w:r>
    </w:p>
    <w:p w14:paraId="37446A66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B2AE69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6. ОБОРУДОВАНИЕ И ТРЕБУЕМЫЕ РЕАГЕНТЫ, НЕ ВХОДЯЩИЕ В СОСТАВ ТЕСТ-НАБОРА</w:t>
      </w:r>
    </w:p>
    <w:p w14:paraId="1FD9C671" w14:textId="7974F07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весы</w:t>
      </w:r>
    </w:p>
    <w:p w14:paraId="009E9DCB" w14:textId="130E281E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перчатки</w:t>
      </w:r>
    </w:p>
    <w:p w14:paraId="601825D3" w14:textId="3AADA12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вытяжной шкаф</w:t>
      </w:r>
    </w:p>
    <w:p w14:paraId="196FE885" w14:textId="1C8C957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гомогенизатор (миксер)</w:t>
      </w:r>
    </w:p>
    <w:p w14:paraId="75380596" w14:textId="71E9F5F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центрифуга (для пробирок объемом 10-15 мл, с охлаждением, 2000*g) </w:t>
      </w:r>
    </w:p>
    <w:p w14:paraId="013B5271" w14:textId="565D14CD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вортекс</w:t>
      </w:r>
      <w:proofErr w:type="spellEnd"/>
    </w:p>
    <w:p w14:paraId="5BD671C5" w14:textId="2C89FB68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04406">
        <w:rPr>
          <w:rFonts w:ascii="Times New Roman" w:hAnsi="Times New Roman" w:cs="Times New Roman"/>
          <w:sz w:val="24"/>
          <w:szCs w:val="24"/>
        </w:rPr>
        <w:t xml:space="preserve">автоматическое устройство для промывки планшетов либо многоканальный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-дозатор 100-300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</w:p>
    <w:p w14:paraId="4CD77FAA" w14:textId="3F654EB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магнитная мешалка</w:t>
      </w:r>
    </w:p>
    <w:p w14:paraId="02496DAF" w14:textId="191D82E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шейкер для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микротитровальных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планшетов</w:t>
      </w:r>
    </w:p>
    <w:p w14:paraId="56018CA5" w14:textId="19B2FB7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микропланшетный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фотометр с фильтром 450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47D6705" w14:textId="089BA968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пробирки</w:t>
      </w:r>
    </w:p>
    <w:p w14:paraId="29E5E377" w14:textId="35EF534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-дозаторы</w:t>
      </w:r>
    </w:p>
    <w:p w14:paraId="73540BFE" w14:textId="44CD76D1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метанол 100%</w:t>
      </w:r>
    </w:p>
    <w:p w14:paraId="7A5CFF37" w14:textId="23F43B6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гексан</w:t>
      </w:r>
    </w:p>
    <w:p w14:paraId="5CB7C934" w14:textId="01B978B0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двузамещенный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фосфат натрия (Na2HPO4)</w:t>
      </w:r>
    </w:p>
    <w:p w14:paraId="11AEC335" w14:textId="2290D82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одназамещенный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фосфат калия (KH2PO4)</w:t>
      </w:r>
    </w:p>
    <w:p w14:paraId="788390A2" w14:textId="39DDB313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хлорид натрия</w:t>
      </w:r>
    </w:p>
    <w:p w14:paraId="6A508285" w14:textId="4A6D1E4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- колонки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Oasis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HLB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(60 мг/3 мл)</w:t>
      </w:r>
    </w:p>
    <w:p w14:paraId="2DAC2945" w14:textId="19F31F3E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аммиак</w:t>
      </w:r>
    </w:p>
    <w:p w14:paraId="40B806B2" w14:textId="6FA97A2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фосфорная кислота</w:t>
      </w:r>
    </w:p>
    <w:p w14:paraId="6EE5B134" w14:textId="4AD8C27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дистиллированная вода</w:t>
      </w:r>
    </w:p>
    <w:p w14:paraId="7CCC1039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97501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7. МЕРЫ ПРЕДОСТОРОЖНОСТИ</w:t>
      </w:r>
    </w:p>
    <w:p w14:paraId="36E98104" w14:textId="78D0DEF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F6F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Фторхинолоны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являются токсичным компонентом. Следует избегать контакта с кожей и ротовой полостью. Не вдыхать.</w:t>
      </w:r>
    </w:p>
    <w:p w14:paraId="3707426E" w14:textId="347A8DF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Стоп-реагент содержит серную кислоту концентрации 0,5 М. Не допускать контакта реагента с кожей.</w:t>
      </w:r>
    </w:p>
    <w:p w14:paraId="2C8C56D8" w14:textId="57CFDD5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Избегать контакта проб с кожей и слизистыми.</w:t>
      </w:r>
    </w:p>
    <w:p w14:paraId="1EEC70FD" w14:textId="0B93F73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пипетировать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ртом.</w:t>
      </w:r>
    </w:p>
    <w:p w14:paraId="6FB76F8D" w14:textId="2EF2DB4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Не допускается есть, пить, курить, хранить или готовить пищу или применять косметику в пределах обозначенной рабочей области. </w:t>
      </w:r>
    </w:p>
    <w:p w14:paraId="6B3F65A9" w14:textId="7702A37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Тетраметилбензидин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является токсичным при вдыхании, при контакте с кожей и при проглатывании. Поэтому будьте внимательны при работе с субстратом.</w:t>
      </w:r>
    </w:p>
    <w:p w14:paraId="7A2C04E5" w14:textId="1E0871A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Не используйте компоненты тест-набора после истечения их срока годности и не перемешивайте компоненты из разных партий. </w:t>
      </w:r>
    </w:p>
    <w:p w14:paraId="05C4B2D1" w14:textId="65A506F0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Каждая лунка используется как оптическая кювета. Поэтому не прикасайтесь к поверхности лунок, не допускайте их повреждения и загрязнения.</w:t>
      </w:r>
    </w:p>
    <w:p w14:paraId="660CA582" w14:textId="19A49408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Все компоненты должны быть полностью растворены перед применением. Обращайте особое внимание на субстрат, который имеет тенденцию к кристаллизации при температуре + 4 °С.</w:t>
      </w:r>
    </w:p>
    <w:p w14:paraId="708C4CF3" w14:textId="19C9509A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Оптимальные результаты могут быть получены при строгом соблюдении протокола анализа. Точность и воспроизводимость результатов анализа зависит от точности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пипетирования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и равномерного промывания лунок.</w:t>
      </w:r>
    </w:p>
    <w:p w14:paraId="5B25E103" w14:textId="49DE1B64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E24241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8. ПОДГОТОВКА ПРОБ</w:t>
      </w:r>
    </w:p>
    <w:p w14:paraId="74C800C5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8.1 Пробы рыбы, мяса, креветок</w:t>
      </w:r>
    </w:p>
    <w:p w14:paraId="37D27A15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8.1.1 Метод I</w:t>
      </w:r>
    </w:p>
    <w:p w14:paraId="20A23C7E" w14:textId="5AB82340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Гомогенизировать 10 г пробы</w:t>
      </w:r>
    </w:p>
    <w:p w14:paraId="0AF75E7B" w14:textId="14B79A5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0,5 г гомогенизированной пробы перенести в пробирку</w:t>
      </w:r>
    </w:p>
    <w:p w14:paraId="4EF04AB5" w14:textId="28CE49E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Добавить 1,5 мл 80 %-ого метанола с буфером для разведения проб* (например, 8 мл 100% метанола и 2 мл буфера для разведения проб) (см. Главу 9) и экстрагировать в течение 30 минут на ротаторе либо переворачивая пробирку вверх дном</w:t>
      </w:r>
    </w:p>
    <w:p w14:paraId="736EDA2B" w14:textId="6806F2C3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Центрифугировать в режиме 10 мин / 2000g / 20-25 ºС</w:t>
      </w:r>
    </w:p>
    <w:p w14:paraId="7EB48A58" w14:textId="7CD79D3E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Развести 100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надосадочного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слоя в 900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буфера для разведения проб*</w:t>
      </w:r>
    </w:p>
    <w:p w14:paraId="6F2C535E" w14:textId="5AE0F808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на лунку</w:t>
      </w:r>
    </w:p>
    <w:p w14:paraId="128731AA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890B9D" w14:textId="7F6C7C4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8.1.</w:t>
      </w:r>
      <w:r w:rsidR="008D582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04406">
        <w:rPr>
          <w:rFonts w:ascii="Times New Roman" w:hAnsi="Times New Roman" w:cs="Times New Roman"/>
          <w:sz w:val="24"/>
          <w:szCs w:val="24"/>
        </w:rPr>
        <w:t xml:space="preserve"> Метод II</w:t>
      </w:r>
    </w:p>
    <w:p w14:paraId="0F8F8378" w14:textId="7EF482FC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Гомогенизировать 10 г пробы</w:t>
      </w:r>
    </w:p>
    <w:p w14:paraId="0FB3489F" w14:textId="370D2EA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1 г гомогенизированной пробы перенести в пробирку</w:t>
      </w:r>
    </w:p>
    <w:p w14:paraId="6BF5ADD0" w14:textId="59AED63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Добавить 3 мл 80 %-ого метанола с буфером для разведения проб* (например, 8 мл 100% метанола и 2 мл буфера для разведения проб) (см. Главу 9) и экстрагировать в течение 15 минут на ротаторе либо переворачивая пробирку вверх дном</w:t>
      </w:r>
    </w:p>
    <w:p w14:paraId="4B19EB4A" w14:textId="59EA5AD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Центрифугировать в режиме 10 мин / 2000g / 20-25 ºС</w:t>
      </w:r>
    </w:p>
    <w:p w14:paraId="3C6450EC" w14:textId="60716EE3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Перенести 2 мл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надосадочного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слоя в стеклянную пробирку объемом 4 мл</w:t>
      </w:r>
    </w:p>
    <w:p w14:paraId="6F813BCF" w14:textId="7DF5F0D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Выпаривать в слабом токе азота при 50 °С досуха. Допускается использовать любой другой метод выпаривания</w:t>
      </w:r>
    </w:p>
    <w:p w14:paraId="4BE05861" w14:textId="4972F468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К сухому остатку добавить 1 мл 8 %-ого метанола с буфером для разведения проб*</w:t>
      </w:r>
    </w:p>
    <w:p w14:paraId="78AB5588" w14:textId="4238EDD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Добавить 1,0 мл гексана для удаления жира</w:t>
      </w:r>
    </w:p>
    <w:p w14:paraId="5FFD2982" w14:textId="1BBA637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Перемешать в течение 1 минут на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вортоксе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и центрифугировать в режиме 15 мин / 2000g / 20-25 ºС </w:t>
      </w:r>
    </w:p>
    <w:p w14:paraId="0E2E37AC" w14:textId="4FCF033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 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нижнего слоя на лунку</w:t>
      </w:r>
    </w:p>
    <w:p w14:paraId="1E1A73F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E074B8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8.2 Пробы сырых и пастеризованных яиц</w:t>
      </w:r>
    </w:p>
    <w:p w14:paraId="78EA9F71" w14:textId="4AAC881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0,5 г гомогенизированной пробы перенести в пробирку</w:t>
      </w:r>
    </w:p>
    <w:p w14:paraId="5BF3A1C4" w14:textId="1169CAB3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Добавить 1,5 мл 40 %-ого метанола с буфером для разведения проб* (например, 8 мл 100% метанола и 2 мл буфера для разведения проб) (см. Главу 9) и экстрагировать в течение 30 минут на ротаторе либо переворачивая пробирку вверх дном</w:t>
      </w:r>
    </w:p>
    <w:p w14:paraId="2C91D5D0" w14:textId="041E7B7D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Центрифугировать в режиме 10 мин / 2000g / 20-25 ºС</w:t>
      </w:r>
    </w:p>
    <w:p w14:paraId="71C45ED5" w14:textId="505C46FD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Развести 100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надосадочного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слоя в 400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буфера для разведения проб*</w:t>
      </w:r>
    </w:p>
    <w:p w14:paraId="1576FC28" w14:textId="100E9FE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на лунку</w:t>
      </w:r>
    </w:p>
    <w:p w14:paraId="10B437DE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CFEF00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8.3 Метод твердофазной экстракции для мяса и цельных яиц</w:t>
      </w:r>
    </w:p>
    <w:p w14:paraId="1F585117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Необходимые материалы и реагенты:</w:t>
      </w:r>
    </w:p>
    <w:p w14:paraId="1A2B9FF3" w14:textId="5332D37D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Фосфорная кислота</w:t>
      </w:r>
    </w:p>
    <w:p w14:paraId="16A3DE0F" w14:textId="6EC60D9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Колонки для твердофазной экстракции проб (60 мг/3 мл)</w:t>
      </w:r>
    </w:p>
    <w:p w14:paraId="278AA271" w14:textId="3827A691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100 % метанол</w:t>
      </w:r>
    </w:p>
    <w:p w14:paraId="0C869D59" w14:textId="4ED099B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Аммиак</w:t>
      </w:r>
    </w:p>
    <w:p w14:paraId="234F2012" w14:textId="6BD30EA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8 %-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 метанола в буфере для разведения проб* (8 мл 100%-ого метанола добавить в 92 мл буфера для разведения проб)</w:t>
      </w:r>
    </w:p>
    <w:p w14:paraId="2D8E29FB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ED5B0C" w14:textId="58B9BEF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1 г гомогенизированной пробы перенести в 50 мл пробирку</w:t>
      </w:r>
    </w:p>
    <w:p w14:paraId="49CAC588" w14:textId="198860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Добавить 4 мл 0,6 %-ой фосфорной кислоты в воде/метаноле 60/40 (объемы) (например, 0,6 мл фосфорной кислоты и 99,4 мл вода/метанол 60/40) </w:t>
      </w:r>
    </w:p>
    <w:p w14:paraId="0308DB03" w14:textId="0F0FC65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Пробы мяса перемешать в течение 1 минут на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вортоксе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и затем в течение 10 минут на ротаторе либо переворачивая пробирку вверх дном. Пробы яиц осторожно закрутить иначе они станут желеобразными</w:t>
      </w:r>
    </w:p>
    <w:p w14:paraId="05C6A516" w14:textId="4EB3957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Центрифугировать в режиме 10 мин / 2000g / 20-25 ºС</w:t>
      </w:r>
    </w:p>
    <w:p w14:paraId="30B7E9CE" w14:textId="517D976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переносят в 15 мл пробирку</w:t>
      </w:r>
    </w:p>
    <w:p w14:paraId="1A913FC6" w14:textId="0A6C3E0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Повторяют экстрагирование, добавив 4 мл экстракционного раствора к пробе</w:t>
      </w:r>
    </w:p>
    <w:p w14:paraId="51483F25" w14:textId="74DF355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Экстракты (8 мл) объединяют и перемешивают</w:t>
      </w:r>
    </w:p>
    <w:p w14:paraId="5BAB5714" w14:textId="1922829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Переносят 4 мл в стеклянную пробирку и выпаривают в токе азота при 50°С (либо другим способом). Оставляют около 1,6 мл водной фазы</w:t>
      </w:r>
    </w:p>
    <w:p w14:paraId="57387A53" w14:textId="15DB13F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Растворяют водный экстракт еще в 4 мл 1 %-ой фосфорной кислоты</w:t>
      </w:r>
    </w:p>
    <w:p w14:paraId="66D8F9F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lastRenderedPageBreak/>
        <w:t>Твердофазная экстракция</w:t>
      </w:r>
    </w:p>
    <w:p w14:paraId="2CFB98F5" w14:textId="1F1E4E28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Использовать колонки типа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Oasis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HLB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7C95E" w14:textId="3A56E75C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Активировать колонку, пропустив через нее 1 мл 100 % метанола (поток 1 мл/мин), а затем 1 мл дистиллированной воды</w:t>
      </w:r>
    </w:p>
    <w:p w14:paraId="5064F73C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6D9BB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Примечание. Важно, чтобы колонка полностью не высохла между активированием и внесением образца. Если колонка высохла, повторите ее активирование.</w:t>
      </w:r>
    </w:p>
    <w:p w14:paraId="23FB193E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04129F" w14:textId="38ED244E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Внести разбавленный водный экстракт на активированную колонку. Собрать весь остаток из колонки, используя вакуум (поток 1 мл/мин)</w:t>
      </w:r>
    </w:p>
    <w:p w14:paraId="7E4B5951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AE667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>Процедура промывки:</w:t>
      </w:r>
    </w:p>
    <w:p w14:paraId="5C9EE988" w14:textId="24542C2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Добавить 2 мл раствора фосфорной кислоты (0,025 М,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3 / метанол 95:5 (по объемам))</w:t>
      </w:r>
    </w:p>
    <w:p w14:paraId="5771E69D" w14:textId="21BCFBE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Добавить 2 мл дистиллированной воды, чтобы колонка высохла</w:t>
      </w:r>
    </w:p>
    <w:p w14:paraId="47A8F791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2E4A0C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Элюция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FLUOQ</w:t>
      </w:r>
    </w:p>
    <w:p w14:paraId="62DB7610" w14:textId="3F1566B0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Добавить 2 мл раствора метанол/аммиак 95:5 (по объему)</w:t>
      </w:r>
    </w:p>
    <w:p w14:paraId="184D3D80" w14:textId="38B0B25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Собрать элюент в чистую стеклянную пробирку </w:t>
      </w:r>
    </w:p>
    <w:p w14:paraId="663D0A60" w14:textId="7CDBF53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Оставить для высыхания на 2 минуты</w:t>
      </w:r>
    </w:p>
    <w:p w14:paraId="4EC3EB87" w14:textId="4AF6807C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Выпарить элюент в слабом токе азота при 50 °С (или другим методом)</w:t>
      </w:r>
    </w:p>
    <w:p w14:paraId="4D2F6E09" w14:textId="7748F40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Восстановить остаток для проб мышц в 2 мл и для проб яиц в 1 мл 8%-ого метанола в буфере для разбавления образца * (см. Главу 9)</w:t>
      </w:r>
    </w:p>
    <w:p w14:paraId="2F9D40DD" w14:textId="0D17019D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на лунку</w:t>
      </w:r>
    </w:p>
    <w:p w14:paraId="3ECE1FD9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A89F3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8.4 Пробы молока</w:t>
      </w:r>
    </w:p>
    <w:p w14:paraId="53F0396C" w14:textId="5B7599F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0,5 мл гомогенизированной пробы перенести в пробирку</w:t>
      </w:r>
    </w:p>
    <w:p w14:paraId="41D7D287" w14:textId="208DB8F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Добавить 4,5 мл 80 %-ого метанола с буфером для разведения проб* (см. Главу 9) и экстрагировать в течение 30 минут на ротаторе либо переворачивая пробирку вверх дном</w:t>
      </w:r>
    </w:p>
    <w:p w14:paraId="0FB46D46" w14:textId="04AE759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Центрифугировать в режиме 10 мин / 2000g / 20-25 ºС</w:t>
      </w:r>
    </w:p>
    <w:p w14:paraId="17D0BCF2" w14:textId="0466F4F4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водного слоя под слоем жира на лунку</w:t>
      </w:r>
    </w:p>
    <w:p w14:paraId="3DED515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55CCF2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8.5 Пробы воды</w:t>
      </w:r>
    </w:p>
    <w:p w14:paraId="7AA43A0D" w14:textId="4FE8CE7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0,5 мл пробы перенести в пробирку</w:t>
      </w:r>
    </w:p>
    <w:p w14:paraId="0953F246" w14:textId="6D8EA400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Добавить 1,5 мл 40 %-ого метанола с буфером для разведения проб* (см. Главу 9) и экстрагировать в течение 5 минут на ротаторе либо переворачивая пробирку вверх дном</w:t>
      </w:r>
    </w:p>
    <w:p w14:paraId="74820A1E" w14:textId="09D8438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Центрифугировать в режиме 10 мин / 2000g / 20-25 ºС</w:t>
      </w:r>
    </w:p>
    <w:p w14:paraId="3BCB24EC" w14:textId="69AC93C2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Перенести 100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надосадочного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слоя в чистую пробирку и добавить 150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буфера для разведения проб* (см. Главу 9)</w:t>
      </w:r>
    </w:p>
    <w:p w14:paraId="7B544DAB" w14:textId="42D79FC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водного слоя под слоем жира на лунку</w:t>
      </w:r>
    </w:p>
    <w:p w14:paraId="6C349473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FFF62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6512F8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8.6 Пробы меда</w:t>
      </w:r>
    </w:p>
    <w:p w14:paraId="549568B1" w14:textId="548ACF81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 xml:space="preserve">0,5 г гомогенизированной пробы поместить в пробирку </w:t>
      </w:r>
    </w:p>
    <w:p w14:paraId="02DE3BC6" w14:textId="5F7DE73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04406">
        <w:rPr>
          <w:rFonts w:ascii="Times New Roman" w:hAnsi="Times New Roman" w:cs="Times New Roman"/>
          <w:sz w:val="24"/>
          <w:szCs w:val="24"/>
        </w:rPr>
        <w:t>Добавить 4,5 мл 8 %-ого метанола с буфером для разведения проб*, (см. Главу 9) и экстрагировать в течение 30 минут на ротаторе либо переворачивая пробирку вверх дном</w:t>
      </w:r>
    </w:p>
    <w:p w14:paraId="22A7DCDE" w14:textId="55AB71BE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Центрифугировать в режиме 10 мин / 2000g / 20-25 ºС</w:t>
      </w:r>
    </w:p>
    <w:p w14:paraId="1CD1047F" w14:textId="407C71EC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водного слоя под слоем жира на лунку</w:t>
      </w:r>
    </w:p>
    <w:p w14:paraId="19A6506F" w14:textId="012B4986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B04489" w14:textId="29423814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6E2377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687311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lastRenderedPageBreak/>
        <w:t>8.7 Пробы сыворотки крови</w:t>
      </w:r>
    </w:p>
    <w:p w14:paraId="6E130440" w14:textId="16AFC1F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0,5 мл гомогенизированной пробы перенести в пробирку и добавить 4,5 мл 8 %-ого метанола с буфером для разведения проб* (см. Главу 9) </w:t>
      </w:r>
    </w:p>
    <w:p w14:paraId="6A970A7A" w14:textId="7E93259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Перемешать на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течение 2 минут</w:t>
      </w:r>
    </w:p>
    <w:p w14:paraId="3F79D4A5" w14:textId="50C507B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на лунку</w:t>
      </w:r>
    </w:p>
    <w:p w14:paraId="3FDF8E1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5BD602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8.8 Пробы мочи</w:t>
      </w:r>
    </w:p>
    <w:p w14:paraId="242E0503" w14:textId="0FB3A92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0,5 мл гомогенизированной пробы перенести в пробирку и добавить 4,5 мл 8 %-ого метанола с буфером для разведения проб* (см. Главу 9) </w:t>
      </w:r>
    </w:p>
    <w:p w14:paraId="1483085A" w14:textId="574C334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Перемешать на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течение 2 минут</w:t>
      </w:r>
    </w:p>
    <w:p w14:paraId="01E42A62" w14:textId="3FA3F50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-</w:t>
      </w:r>
      <w:r w:rsidRPr="00804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 тесте используют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на лунку</w:t>
      </w:r>
    </w:p>
    <w:p w14:paraId="293AA23B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6E86DB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9. ПРИГОТОВЛЕНИЕ РЕАГЕНТОВ</w:t>
      </w:r>
    </w:p>
    <w:p w14:paraId="7AE4A59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Перед использованием тест-системы доведите температуру всех реагентов до комнатной (20 -25°С). Неиспользуемые реагенты должны быть немедленно помещены в оригинальную упаковку на хранение при +2˚С–+8˚С. </w:t>
      </w:r>
    </w:p>
    <w:p w14:paraId="16CFB85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  <w:u w:val="single"/>
        </w:rPr>
        <w:t>Микротитровальный</w:t>
      </w:r>
      <w:proofErr w:type="spellEnd"/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 планшет</w:t>
      </w:r>
    </w:p>
    <w:p w14:paraId="39DF279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Не требуемые стрипы должны храниться с осушителем в плотно закрытом оригинальном пакете при температуре от + 2 °C до + 8 °C. </w:t>
      </w:r>
    </w:p>
    <w:p w14:paraId="2341C91B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>Буфер для промывки</w:t>
      </w:r>
    </w:p>
    <w:p w14:paraId="2DCCD4C5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Буфер для промывки поставляется в концентрации 20х. Буфер необходимо приготовить непосредственно перед использованием. На один стрип необходимо 40 мл разведенного раствора (2 мл концентрата буфера + 38 мл дистиллированной воды). </w:t>
      </w:r>
    </w:p>
    <w:p w14:paraId="1C7E8F23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Спайк-раствор концентрации 100 </w:t>
      </w:r>
      <w:proofErr w:type="spellStart"/>
      <w:r w:rsidRPr="00804406">
        <w:rPr>
          <w:rFonts w:ascii="Times New Roman" w:hAnsi="Times New Roman" w:cs="Times New Roman"/>
          <w:sz w:val="24"/>
          <w:szCs w:val="24"/>
          <w:u w:val="single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  <w:u w:val="single"/>
        </w:rPr>
        <w:t>/мл</w:t>
      </w:r>
    </w:p>
    <w:p w14:paraId="3E4605A3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Для приготовления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градуировочных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растворов в соответствующей матрице либо для приготовления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спайков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должен использоваться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спайк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-раствор концентрации 100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/мл. Спайк-раствор разводится в соответствующей матрице для получения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ряда концентрации 5, 2.5, 1.25, 0.625, 0.313 и 0.157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/мл. Также необходимо приготовление нулевого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раствора на основе той же матрицы.</w:t>
      </w:r>
    </w:p>
    <w:p w14:paraId="4E92C801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Буфер для разведения </w:t>
      </w:r>
      <w:proofErr w:type="spellStart"/>
      <w:r w:rsidRPr="00804406">
        <w:rPr>
          <w:rFonts w:ascii="Times New Roman" w:hAnsi="Times New Roman" w:cs="Times New Roman"/>
          <w:sz w:val="24"/>
          <w:szCs w:val="24"/>
          <w:u w:val="single"/>
        </w:rPr>
        <w:t>конъюгата</w:t>
      </w:r>
      <w:proofErr w:type="spellEnd"/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 и антител</w:t>
      </w:r>
    </w:p>
    <w:p w14:paraId="700FA55A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Для восстановления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и антител используется готовый к употреблению буфер для разбавления, поставляемый с набором.</w:t>
      </w:r>
    </w:p>
    <w:p w14:paraId="2347697B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Буфер храниться в холодильнике (от + 2 °C до + 8 °C) до истечения срока годности, указанного на этикетке набора.</w:t>
      </w:r>
    </w:p>
    <w:p w14:paraId="576C3CE9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Раствор </w:t>
      </w:r>
      <w:proofErr w:type="spellStart"/>
      <w:r w:rsidRPr="00804406">
        <w:rPr>
          <w:rFonts w:ascii="Times New Roman" w:hAnsi="Times New Roman" w:cs="Times New Roman"/>
          <w:sz w:val="24"/>
          <w:szCs w:val="24"/>
          <w:u w:val="single"/>
        </w:rPr>
        <w:t>конъюгата</w:t>
      </w:r>
      <w:proofErr w:type="spellEnd"/>
    </w:p>
    <w:p w14:paraId="6E699520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Лиофилизованный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-ПХ) должен быть восстановлен в 4 мл буфера для разведения. Раствор тщательно перемешать, поместить в темное место. Восстановленный раствор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может храниться в холодильнике (от + 2 °C до + 8 °C) не менее полугода.</w:t>
      </w:r>
    </w:p>
    <w:p w14:paraId="63F42F7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>Раствор антител</w:t>
      </w:r>
    </w:p>
    <w:p w14:paraId="29CD5A98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Лиофилизованные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антитела должны быть восстановлены в 4 мл буфера для разведения. Раствор тщательно перемешать, поместить в темное место. Восстановленный раствор антител может храниться в холодильнике (от + 2 °C до + 8 °C) не менее полугода.</w:t>
      </w:r>
    </w:p>
    <w:p w14:paraId="543DFC00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  <w:u w:val="single"/>
        </w:rPr>
        <w:t>Градуировочные</w:t>
      </w:r>
      <w:proofErr w:type="spellEnd"/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 растворы</w:t>
      </w:r>
    </w:p>
    <w:p w14:paraId="68F96DEE" w14:textId="0FFB926B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растворы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готовы к использованию.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растворы содержат 5, 2.5, 1.25, 0.625, 0.313 и 0.157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/мл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8%-ном растворе метанола. Также в наборе имеется готовый нулевой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градуировочный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Храняться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растворы в темноте при температуре от + 2ºC до + 8ºC.</w:t>
      </w:r>
    </w:p>
    <w:p w14:paraId="412CBEEE" w14:textId="6CA582CE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980A9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F2E9E0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lastRenderedPageBreak/>
        <w:t>Раствор субстрата/хромогена</w:t>
      </w:r>
    </w:p>
    <w:p w14:paraId="230306B3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Раствор субстрата/хромогена (готовый к применению) осаждается при температуре +4 ˚С. Бутылочку с ним необходимо довести до комнатной температуры (в темноте) и перемешать содержимое перед внесением в лунки. Избегать попадания прямого солнечного света.</w:t>
      </w:r>
    </w:p>
    <w:p w14:paraId="0D4F5AF2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>Буфер для разведения проб*</w:t>
      </w:r>
    </w:p>
    <w:p w14:paraId="3860BAEC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Буфер для разведения проб не поставляется с набором. Готовится буфер следующим образом:</w:t>
      </w:r>
    </w:p>
    <w:p w14:paraId="71EFD4BC" w14:textId="12DAE6A1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приготовлени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04406">
        <w:rPr>
          <w:rFonts w:ascii="Times New Roman" w:hAnsi="Times New Roman" w:cs="Times New Roman"/>
          <w:sz w:val="24"/>
          <w:szCs w:val="24"/>
        </w:rPr>
        <w:t xml:space="preserve"> 1 литра буфера:</w:t>
      </w:r>
    </w:p>
    <w:p w14:paraId="18C12AC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Na</w:t>
      </w:r>
      <w:r w:rsidRPr="008044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4406">
        <w:rPr>
          <w:rFonts w:ascii="Times New Roman" w:hAnsi="Times New Roman" w:cs="Times New Roman"/>
          <w:sz w:val="24"/>
          <w:szCs w:val="24"/>
        </w:rPr>
        <w:t>HPO</w:t>
      </w:r>
      <w:r w:rsidRPr="0080440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4406">
        <w:rPr>
          <w:rFonts w:ascii="Times New Roman" w:hAnsi="Times New Roman" w:cs="Times New Roman"/>
          <w:sz w:val="24"/>
          <w:szCs w:val="24"/>
        </w:rPr>
        <w:t xml:space="preserve"> - 0.77 г</w:t>
      </w:r>
    </w:p>
    <w:p w14:paraId="4593FA13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KH</w:t>
      </w:r>
      <w:r w:rsidRPr="008044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04406">
        <w:rPr>
          <w:rFonts w:ascii="Times New Roman" w:hAnsi="Times New Roman" w:cs="Times New Roman"/>
          <w:sz w:val="24"/>
          <w:szCs w:val="24"/>
        </w:rPr>
        <w:t>PO</w:t>
      </w:r>
      <w:r w:rsidRPr="0080440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04406">
        <w:rPr>
          <w:rFonts w:ascii="Times New Roman" w:hAnsi="Times New Roman" w:cs="Times New Roman"/>
          <w:sz w:val="24"/>
          <w:szCs w:val="24"/>
        </w:rPr>
        <w:t xml:space="preserve"> - 0.18 г</w:t>
      </w:r>
    </w:p>
    <w:p w14:paraId="58ED918E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- 8.94 г</w:t>
      </w:r>
    </w:p>
    <w:p w14:paraId="68CDB8DF" w14:textId="22BBC9AF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7.4 (7.3-7.5)</w:t>
      </w:r>
    </w:p>
    <w:p w14:paraId="502FC7CB" w14:textId="54108CD6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BD5BE2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10. ПРОЦЕДУРА АНАЛИЗА</w:t>
      </w:r>
    </w:p>
    <w:p w14:paraId="7137A858" w14:textId="2600BD0A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>Протокол промывки</w:t>
      </w:r>
    </w:p>
    <w:p w14:paraId="7F421A7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При ИФА между каждым этапом иммунологической инкубации должны удаляться несвязанные компоненты. Это достигается посредством соответствующей процедуры промывки. Очевидно, что каждая процедура промывания должна проводиться с большой тщательностью для гарантирования хороших результатов повторяемости и воспроизводимости.</w:t>
      </w:r>
    </w:p>
    <w:p w14:paraId="25FF74F2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В принципе, промывка вручную или с помощью автоматического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вошера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может осуществляться следующим образом:</w:t>
      </w:r>
    </w:p>
    <w:p w14:paraId="3EDBEDE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Промывка вручную </w:t>
      </w:r>
    </w:p>
    <w:p w14:paraId="16437298" w14:textId="7460FC5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Жидкость из лунок выливают путем резкого переворачивания планшета и удаляют остатки жидкости путем энергичного троекратного постукивания рамки с лунками по столу, накрытому листом сухой фильтровальной бумаги.</w:t>
      </w:r>
    </w:p>
    <w:p w14:paraId="348FEE5C" w14:textId="78C018E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Все лунки заполняют буфером для промывания до края лунки (300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</w:t>
      </w:r>
    </w:p>
    <w:p w14:paraId="10B821A8" w14:textId="2DF6B9BB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Этот процесс промывки (этапы 1 и 2) повторяют трижды.</w:t>
      </w:r>
    </w:p>
    <w:p w14:paraId="02EFE288" w14:textId="4E5E421E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Жидкость из лунок выливают путем резкого переворачивания планшета</w:t>
      </w:r>
    </w:p>
    <w:p w14:paraId="47D22D3C" w14:textId="62AED26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После последнего промывания планшет переворачивают и удаляют остатки жидкости путем энергичного троекратного постукивания рамки с лунками по столу, накрытому листом сухой фильтровальной бумаги.</w:t>
      </w:r>
    </w:p>
    <w:p w14:paraId="651E289E" w14:textId="5A842D1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Не допускайте высыхания лунок перед внесением следующего реагента.</w:t>
      </w:r>
    </w:p>
    <w:p w14:paraId="691249D9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 xml:space="preserve">Промывание с помощью автоматического </w:t>
      </w:r>
      <w:proofErr w:type="spellStart"/>
      <w:r w:rsidRPr="00804406">
        <w:rPr>
          <w:rFonts w:ascii="Times New Roman" w:hAnsi="Times New Roman" w:cs="Times New Roman"/>
          <w:sz w:val="24"/>
          <w:szCs w:val="24"/>
          <w:u w:val="single"/>
        </w:rPr>
        <w:t>вошера</w:t>
      </w:r>
      <w:proofErr w:type="spellEnd"/>
    </w:p>
    <w:p w14:paraId="7DA7FD85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При использовании автоматического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вошера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проверьте, чтобы из всех лунок жидкость удалялась полностью, чтобы раствор для промывания тщательно распределялся, заполняя до края каждую лунку во время каждого цикла промывания.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Вошер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должен быть запрограммирован на выполнение трех циклов промывки.</w:t>
      </w:r>
    </w:p>
    <w:p w14:paraId="47F4FF46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4406">
        <w:rPr>
          <w:rFonts w:ascii="Times New Roman" w:hAnsi="Times New Roman" w:cs="Times New Roman"/>
          <w:sz w:val="24"/>
          <w:szCs w:val="24"/>
          <w:u w:val="single"/>
        </w:rPr>
        <w:t>Протокол анализа</w:t>
      </w:r>
    </w:p>
    <w:p w14:paraId="0B880A51" w14:textId="1428CDC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Подготовьте пробы в соответствии с разделом 8 (Подготовка проб) и подготовьте реагенты в соответствии с разделом 9 (Подготовка реагентов). </w:t>
      </w:r>
    </w:p>
    <w:p w14:paraId="7D008629" w14:textId="2870314D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Вносят 100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нулевого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раствора в двух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(лунки Н1, Н2, бланк).</w:t>
      </w:r>
    </w:p>
    <w:p w14:paraId="1827D0B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Вносят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нулевого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раствора в двух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(лунки А1, А2, макс. опт. плотность).</w:t>
      </w:r>
    </w:p>
    <w:p w14:paraId="4A7E3BF8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Вносят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каждого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градуировочного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раствора в двух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(лунки от В1,2 до G1,2, т.е. 0.157, 0.313, 0.625, 1.25, 2.5 и 5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/мл).</w:t>
      </w:r>
    </w:p>
    <w:p w14:paraId="67CF63DF" w14:textId="33E979A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Вносят по 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каждой пробы в двух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повторностях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7467E" w14:textId="7AC85BEF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Вносят по 25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во все лунки за исключением Н1 и Н2.</w:t>
      </w:r>
    </w:p>
    <w:p w14:paraId="55981980" w14:textId="73A16F0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Вносят по 25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раствора антител во все лунки за исключением Н1 и Н2.</w:t>
      </w:r>
    </w:p>
    <w:p w14:paraId="47173983" w14:textId="4BD95580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Планшет запечатывают и перемешивают в течение нескольких секунд его содержимое (на шейкере для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микротитровальных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планшетов либо аккуратными круговыми движениями).</w:t>
      </w:r>
    </w:p>
    <w:p w14:paraId="610633A6" w14:textId="22A7E7E9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Планшет инкубируют в течение 1 часа в темноте при температуре 4ºС.</w:t>
      </w:r>
    </w:p>
    <w:p w14:paraId="45F85812" w14:textId="1314263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Удаляют раствор из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микротитровального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планшета и промывают 3 раза буфером для промывания.</w:t>
      </w:r>
    </w:p>
    <w:p w14:paraId="6357928A" w14:textId="3C49C34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Вносят по 100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раствора субстрата/хромогена во все лунки. </w:t>
      </w:r>
    </w:p>
    <w:p w14:paraId="319D9678" w14:textId="2CD392FD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>Тщательно перемешивают и инкубируют планшет в темноте в течение 30 минут при комнатной температуре (20˚С - 25˚С).</w:t>
      </w:r>
    </w:p>
    <w:p w14:paraId="05A24760" w14:textId="54F338C5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Вносят по 100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стоп-реагента во все лунки.</w:t>
      </w:r>
    </w:p>
    <w:p w14:paraId="3D98CFD1" w14:textId="51CF811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Сразу же измеряют оптическую плотность при 450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.</w:t>
      </w:r>
    </w:p>
    <w:p w14:paraId="29062420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A4A2E9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11. ИНТЕРПРЕТАЦИЯ РЕЗУЛЬТАТОВ</w:t>
      </w:r>
    </w:p>
    <w:p w14:paraId="172BAACE" w14:textId="77777777" w:rsidR="005F6F1E" w:rsidRP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>Значения ОП образцов, измеренные в этом анализ, преобразуются в соответствующие концентрации следующим образом:</w:t>
      </w:r>
    </w:p>
    <w:p w14:paraId="01446FBD" w14:textId="77777777" w:rsidR="005F6F1E" w:rsidRP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>Среднее значение оптической плотности (ОП) холостых лунок вычитается из индивидуальной ОП. лунок, содержащих стандарты и образцы. Тогда эти значения ОП стандартов и образцов (средние значения дубликатов) делятся на среднее значение ОП нулевого стандарта и умножается на 100. Таким образом, нулевой стандарт становится равным 100% (максимальное поглощение), а остальная ОП. значения указаны в процентах от максимального поглощения.</w:t>
      </w:r>
    </w:p>
    <w:p w14:paraId="397F6367" w14:textId="77777777" w:rsidR="005F6F1E" w:rsidRP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 xml:space="preserve">Значения, рассчитанные для стандартов, вводятся в полулогарифмический график зависимости концентрации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>.</w:t>
      </w:r>
    </w:p>
    <w:p w14:paraId="671533AB" w14:textId="77777777" w:rsidR="005F6F1E" w:rsidRP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>Альтернатива калибровочной кривой:</w:t>
      </w:r>
    </w:p>
    <w:p w14:paraId="336C16D7" w14:textId="77777777" w:rsidR="005F6F1E" w:rsidRP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>Значения абсорбции (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logit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) расчета стандартов отложены на оси Y в зависимости от эквивалентной концентрации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 на логарифмической оси X.</w:t>
      </w:r>
    </w:p>
    <w:p w14:paraId="54B50946" w14:textId="77777777" w:rsidR="005F6F1E" w:rsidRP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>Для удобства клиентов R-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 предлагает 2 программы, которые можно использовать для интерпретации результатов ИФА:</w:t>
      </w:r>
    </w:p>
    <w:p w14:paraId="4031B419" w14:textId="77777777" w:rsidR="005F6F1E" w:rsidRP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 xml:space="preserve">- RIDASOFT®Win.NET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 (артикул Z9996FF). В этой программе все тесты R-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 ELISA (включая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>) предварительно запрограммированы в базе данных. Список совместимых ридеров предоставляется по запросу.</w:t>
      </w:r>
    </w:p>
    <w:p w14:paraId="7AE5D16D" w14:textId="77777777" w:rsidR="005F6F1E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Simplefit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. Эта программа на базе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 xml:space="preserve"> разработана для расчета результатов всех тестов </w:t>
      </w:r>
      <w:proofErr w:type="spellStart"/>
      <w:r w:rsidRPr="005F6F1E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5F6F1E">
        <w:rPr>
          <w:rFonts w:ascii="Times New Roman" w:hAnsi="Times New Roman" w:cs="Times New Roman"/>
          <w:sz w:val="24"/>
          <w:szCs w:val="24"/>
        </w:rPr>
        <w:t>.</w:t>
      </w:r>
    </w:p>
    <w:p w14:paraId="1DDE4790" w14:textId="4919B948" w:rsidR="00804406" w:rsidRPr="00804406" w:rsidRDefault="00804406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8.1.1 Метод I: Ткани (пробы рыбы, мяса, креветок)</w:t>
      </w:r>
    </w:p>
    <w:p w14:paraId="736C1436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40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657E4B79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8.1.1 Метод II: Ткани (пробы рыбы, мяса, креветок)</w:t>
      </w:r>
    </w:p>
    <w:p w14:paraId="39223D45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2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0864F971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8.2 Пробы сырых и пастеризованных яиц</w:t>
      </w:r>
    </w:p>
    <w:p w14:paraId="24C2186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20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599DA78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8.3 Метод твердофазной экстракции для мяса и цельных яиц</w:t>
      </w:r>
    </w:p>
    <w:p w14:paraId="1031EBAC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4.5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мясе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) и умножаться на коэффициент 2.25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яйцах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17E003D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8.4 Пробы молока</w:t>
      </w:r>
    </w:p>
    <w:p w14:paraId="08010649" w14:textId="5DA02D5E" w:rsid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10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64F96934" w14:textId="4F45EBF9" w:rsidR="005F6F1E" w:rsidRDefault="005F6F1E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7A8181" w14:textId="77777777" w:rsidR="005F6F1E" w:rsidRPr="00804406" w:rsidRDefault="005F6F1E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3F3DE6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lastRenderedPageBreak/>
        <w:t>8.5 Пробы воды</w:t>
      </w:r>
    </w:p>
    <w:p w14:paraId="44368F4C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10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16155E6A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8.6 Пробы меда</w:t>
      </w:r>
    </w:p>
    <w:p w14:paraId="4CD3C413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10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2C94DDE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8.7 Пробы сыворотки крови</w:t>
      </w:r>
    </w:p>
    <w:p w14:paraId="66129D7E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10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3620B117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8.8 Пробы мочи</w:t>
      </w:r>
    </w:p>
    <w:p w14:paraId="1F3684D1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норфлоксацина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полученное по калибровочной кривой, должно умножаться на коэффициент 10 для получения концентрации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/г (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ppb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).</w:t>
      </w:r>
    </w:p>
    <w:p w14:paraId="424A3CD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0E126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12. ЛИТЕРАТУРА</w:t>
      </w:r>
    </w:p>
    <w:p w14:paraId="40BD69BE" w14:textId="4F787A3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1.</w:t>
      </w:r>
      <w:r w:rsidRPr="00804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4406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Verheijen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Sajic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Hopman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C.J.M.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fluoroquinolones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Enzyme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Immunoassays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matrices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VIIth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440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on</w:t>
      </w:r>
      <w:proofErr w:type="spellEnd"/>
      <w:proofErr w:type="gram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Agri-Food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Antibodies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Uppsala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Sweden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11-13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2003.</w:t>
      </w:r>
    </w:p>
    <w:p w14:paraId="3D8E7444" w14:textId="6A40DBA6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>2.</w:t>
      </w:r>
      <w:r w:rsidRPr="00804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Giampiero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Scortichini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Loredana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Annunziata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Valeria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Girolamo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Roberta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Buratti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Roberta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Galarini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enzyme-linked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immunosorbent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assay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creening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quinolones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egg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muscle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Analytica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637 (2009) 273-278.</w:t>
      </w:r>
    </w:p>
    <w:p w14:paraId="6ADDF7A4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72312F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13. ИНФОРМАЦИЯ ДЛЯ ЗАКАЗА</w:t>
      </w:r>
    </w:p>
    <w:p w14:paraId="7C50AD17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406">
        <w:rPr>
          <w:rFonts w:ascii="Times New Roman" w:hAnsi="Times New Roman" w:cs="Times New Roman"/>
          <w:sz w:val="24"/>
          <w:szCs w:val="24"/>
        </w:rPr>
        <w:t xml:space="preserve">Для размещения заказа на тест-набор на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фторхинолоны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406">
        <w:rPr>
          <w:rFonts w:ascii="Times New Roman" w:hAnsi="Times New Roman" w:cs="Times New Roman"/>
          <w:sz w:val="24"/>
          <w:szCs w:val="24"/>
        </w:rPr>
        <w:t>используйт</w:t>
      </w:r>
      <w:proofErr w:type="spellEnd"/>
      <w:r w:rsidRPr="00804406">
        <w:rPr>
          <w:rFonts w:ascii="Times New Roman" w:hAnsi="Times New Roman" w:cs="Times New Roman"/>
          <w:sz w:val="24"/>
          <w:szCs w:val="24"/>
        </w:rPr>
        <w:t>. код набора 5101 FLUQG.</w:t>
      </w:r>
    </w:p>
    <w:p w14:paraId="3E0D456A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2CC94E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3367FD" w14:textId="77777777" w:rsidR="00804406" w:rsidRPr="00804406" w:rsidRDefault="00804406" w:rsidP="0080440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406">
        <w:rPr>
          <w:rFonts w:ascii="Times New Roman" w:hAnsi="Times New Roman" w:cs="Times New Roman"/>
          <w:b/>
          <w:bCs/>
          <w:sz w:val="28"/>
          <w:szCs w:val="28"/>
        </w:rPr>
        <w:t>14. ПОСЛЕДНИЕ ИЗМЕНЕНИЯ</w:t>
      </w:r>
    </w:p>
    <w:p w14:paraId="1B646880" w14:textId="1AB1F5B8" w:rsidR="00C02285" w:rsidRPr="00512032" w:rsidRDefault="005F6F1E" w:rsidP="005F6F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F1E">
        <w:rPr>
          <w:rFonts w:ascii="Times New Roman" w:hAnsi="Times New Roman" w:cs="Times New Roman"/>
          <w:sz w:val="24"/>
          <w:szCs w:val="24"/>
        </w:rPr>
        <w:t>Обновлен п. 11.</w:t>
      </w:r>
    </w:p>
    <w:sectPr w:rsidR="00C02285" w:rsidRPr="00512032" w:rsidSect="00512032">
      <w:headerReference w:type="defaul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499FE" w14:textId="77777777" w:rsidR="00512032" w:rsidRDefault="00512032" w:rsidP="00512032">
      <w:pPr>
        <w:spacing w:after="0" w:line="240" w:lineRule="auto"/>
      </w:pPr>
      <w:r>
        <w:separator/>
      </w:r>
    </w:p>
  </w:endnote>
  <w:endnote w:type="continuationSeparator" w:id="0">
    <w:p w14:paraId="21AD0CE5" w14:textId="77777777" w:rsidR="00512032" w:rsidRDefault="00512032" w:rsidP="0051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3C0D8" w14:textId="77777777" w:rsidR="00512032" w:rsidRDefault="00512032" w:rsidP="00512032">
      <w:pPr>
        <w:spacing w:after="0" w:line="240" w:lineRule="auto"/>
      </w:pPr>
      <w:r>
        <w:separator/>
      </w:r>
    </w:p>
  </w:footnote>
  <w:footnote w:type="continuationSeparator" w:id="0">
    <w:p w14:paraId="356A1F9D" w14:textId="77777777" w:rsidR="00512032" w:rsidRDefault="00512032" w:rsidP="0051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09D7E" w14:textId="131AE6D3" w:rsidR="00512032" w:rsidRDefault="001E3FA8">
    <w:pPr>
      <w:pStyle w:val="a5"/>
      <w:jc w:val="right"/>
    </w:pPr>
    <w:r w:rsidRPr="001E3FA8">
      <w:rPr>
        <w:lang w:val="en-US"/>
      </w:rPr>
      <w:t>5101FLUQG [1</w:t>
    </w:r>
    <w:r w:rsidR="005F6F1E">
      <w:rPr>
        <w:lang w:val="ru-RU"/>
      </w:rPr>
      <w:t>7</w:t>
    </w:r>
    <w:r w:rsidRPr="001E3FA8">
      <w:rPr>
        <w:lang w:val="en-US"/>
      </w:rPr>
      <w:t>]0</w:t>
    </w:r>
    <w:r w:rsidR="005F6F1E">
      <w:rPr>
        <w:lang w:val="ru-RU"/>
      </w:rPr>
      <w:t>2</w:t>
    </w:r>
    <w:r w:rsidRPr="001E3FA8">
      <w:rPr>
        <w:lang w:val="en-US"/>
      </w:rPr>
      <w:t>.2</w:t>
    </w:r>
    <w:r w:rsidR="005F6F1E">
      <w:rPr>
        <w:lang w:val="ru-RU"/>
      </w:rPr>
      <w:t>4</w:t>
    </w:r>
    <w:r w:rsidR="00512032">
      <w:rPr>
        <w:lang w:val="en-US"/>
      </w:rPr>
      <w:t xml:space="preserve">                                                                                                                                                                </w:t>
    </w:r>
    <w:sdt>
      <w:sdtPr>
        <w:id w:val="1621035791"/>
        <w:docPartObj>
          <w:docPartGallery w:val="Page Numbers (Top of Page)"/>
          <w:docPartUnique/>
        </w:docPartObj>
      </w:sdtPr>
      <w:sdtEndPr/>
      <w:sdtContent>
        <w:r w:rsidR="00512032">
          <w:fldChar w:fldCharType="begin"/>
        </w:r>
        <w:r w:rsidR="00512032">
          <w:instrText>PAGE   \* MERGEFORMAT</w:instrText>
        </w:r>
        <w:r w:rsidR="00512032">
          <w:fldChar w:fldCharType="separate"/>
        </w:r>
        <w:r w:rsidR="00512032">
          <w:rPr>
            <w:lang w:val="ru-RU"/>
          </w:rPr>
          <w:t>2</w:t>
        </w:r>
        <w:r w:rsidR="00512032">
          <w:fldChar w:fldCharType="end"/>
        </w:r>
      </w:sdtContent>
    </w:sdt>
  </w:p>
  <w:p w14:paraId="15B6A2F9" w14:textId="77777777" w:rsidR="00512032" w:rsidRDefault="005120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2"/>
    <w:rsid w:val="001E3FA8"/>
    <w:rsid w:val="0037230A"/>
    <w:rsid w:val="0037328B"/>
    <w:rsid w:val="00442521"/>
    <w:rsid w:val="004E6CEE"/>
    <w:rsid w:val="00512032"/>
    <w:rsid w:val="005F5964"/>
    <w:rsid w:val="005F6F1E"/>
    <w:rsid w:val="007362C5"/>
    <w:rsid w:val="0076153E"/>
    <w:rsid w:val="00804406"/>
    <w:rsid w:val="008533CC"/>
    <w:rsid w:val="008D582E"/>
    <w:rsid w:val="00BB776B"/>
    <w:rsid w:val="00C02285"/>
    <w:rsid w:val="00D4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4131"/>
  <w15:chartTrackingRefBased/>
  <w15:docId w15:val="{E2E67F22-8D29-466F-A6AA-DB27717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ЗАГОЛОВОК"/>
    <w:basedOn w:val="a"/>
    <w:link w:val="10"/>
    <w:qFormat/>
    <w:rsid w:val="0037328B"/>
    <w:pPr>
      <w:pageBreakBefore/>
    </w:pPr>
    <w:rPr>
      <w:rFonts w:ascii="Arial" w:hAnsi="Arial"/>
      <w:b/>
      <w:sz w:val="48"/>
    </w:rPr>
  </w:style>
  <w:style w:type="character" w:customStyle="1" w:styleId="10">
    <w:name w:val="1ЗАГОЛОВОК Знак"/>
    <w:basedOn w:val="a0"/>
    <w:link w:val="1"/>
    <w:rsid w:val="0037328B"/>
    <w:rPr>
      <w:rFonts w:ascii="Arial" w:hAnsi="Arial"/>
      <w:b/>
      <w:sz w:val="48"/>
    </w:rPr>
  </w:style>
  <w:style w:type="paragraph" w:customStyle="1" w:styleId="11">
    <w:name w:val="1раздел"/>
    <w:basedOn w:val="1"/>
    <w:link w:val="12"/>
    <w:qFormat/>
    <w:rsid w:val="0037328B"/>
    <w:rPr>
      <w:sz w:val="36"/>
      <w:lang w:val="ru-RU"/>
    </w:rPr>
  </w:style>
  <w:style w:type="character" w:customStyle="1" w:styleId="12">
    <w:name w:val="1раздел Знак"/>
    <w:basedOn w:val="10"/>
    <w:link w:val="11"/>
    <w:rsid w:val="0037328B"/>
    <w:rPr>
      <w:rFonts w:ascii="Arial" w:hAnsi="Arial"/>
      <w:b/>
      <w:sz w:val="36"/>
      <w:lang w:val="ru-RU"/>
    </w:rPr>
  </w:style>
  <w:style w:type="paragraph" w:customStyle="1" w:styleId="2">
    <w:name w:val="2текст"/>
    <w:basedOn w:val="1"/>
    <w:link w:val="20"/>
    <w:qFormat/>
    <w:rsid w:val="007362C5"/>
    <w:pPr>
      <w:spacing w:after="0"/>
      <w:ind w:firstLine="720"/>
      <w:jc w:val="both"/>
    </w:pPr>
    <w:rPr>
      <w:sz w:val="28"/>
      <w:lang w:val="ru-RU"/>
    </w:rPr>
  </w:style>
  <w:style w:type="character" w:customStyle="1" w:styleId="20">
    <w:name w:val="2текст Знак"/>
    <w:basedOn w:val="10"/>
    <w:link w:val="2"/>
    <w:rsid w:val="007362C5"/>
    <w:rPr>
      <w:rFonts w:ascii="Arial" w:hAnsi="Arial"/>
      <w:b/>
      <w:sz w:val="28"/>
      <w:lang w:val="ru-RU"/>
    </w:rPr>
  </w:style>
  <w:style w:type="paragraph" w:styleId="a3">
    <w:name w:val="No Spacing"/>
    <w:link w:val="a4"/>
    <w:uiPriority w:val="1"/>
    <w:qFormat/>
    <w:rsid w:val="00512032"/>
    <w:pPr>
      <w:spacing w:after="0" w:line="240" w:lineRule="auto"/>
    </w:pPr>
    <w:rPr>
      <w:rFonts w:eastAsiaTheme="minorEastAsia"/>
      <w:lang w:eastAsia="ru-BY"/>
    </w:rPr>
  </w:style>
  <w:style w:type="character" w:customStyle="1" w:styleId="a4">
    <w:name w:val="Без интервала Знак"/>
    <w:basedOn w:val="a0"/>
    <w:link w:val="a3"/>
    <w:uiPriority w:val="1"/>
    <w:rsid w:val="00512032"/>
    <w:rPr>
      <w:rFonts w:eastAsiaTheme="minorEastAsia"/>
      <w:lang w:val="ru-BY" w:eastAsia="ru-BY"/>
    </w:rPr>
  </w:style>
  <w:style w:type="paragraph" w:styleId="a5">
    <w:name w:val="header"/>
    <w:basedOn w:val="a"/>
    <w:link w:val="a6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032"/>
  </w:style>
  <w:style w:type="paragraph" w:styleId="a7">
    <w:name w:val="footer"/>
    <w:basedOn w:val="a"/>
    <w:link w:val="a8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032"/>
  </w:style>
  <w:style w:type="table" w:styleId="a9">
    <w:name w:val="Table Grid"/>
    <w:basedOn w:val="a1"/>
    <w:uiPriority w:val="39"/>
    <w:rsid w:val="0051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1203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1203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372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rod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-test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2638</Words>
  <Characters>20954</Characters>
  <Application>Microsoft Office Word</Application>
  <DocSecurity>0</DocSecurity>
  <Lines>427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Драгун</dc:creator>
  <cp:keywords/>
  <dc:description/>
  <cp:lastModifiedBy>Мария Александровна Захаревич</cp:lastModifiedBy>
  <cp:revision>4</cp:revision>
  <dcterms:created xsi:type="dcterms:W3CDTF">2023-05-25T10:04:00Z</dcterms:created>
  <dcterms:modified xsi:type="dcterms:W3CDTF">2025-07-18T12:21:00Z</dcterms:modified>
</cp:coreProperties>
</file>